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2BF923">
      <w:pPr>
        <w:spacing w:line="360" w:lineRule="auto"/>
        <w:ind w:firstLine="160" w:firstLineChars="50"/>
        <w:rPr>
          <w:rFonts w:hint="eastAsia" w:ascii="CESI黑体-GB2312" w:hAnsi="CESI黑体-GB2312" w:eastAsia="CESI黑体-GB2312" w:cs="CESI黑体-GB2312"/>
          <w:color w:val="auto"/>
          <w:sz w:val="32"/>
          <w:szCs w:val="32"/>
          <w:highlight w:val="none"/>
        </w:rPr>
      </w:pPr>
      <w:bookmarkStart w:id="710" w:name="_GoBack"/>
      <w:r>
        <w:rPr>
          <w:rFonts w:hint="eastAsia" w:ascii="CESI黑体-GB2312" w:hAnsi="CESI黑体-GB2312" w:eastAsia="CESI黑体-GB2312" w:cs="CESI黑体-GB2312"/>
          <w:color w:val="auto"/>
          <w:sz w:val="32"/>
          <w:szCs w:val="32"/>
          <w:highlight w:val="none"/>
        </w:rPr>
        <w:t xml:space="preserve"> </w:t>
      </w:r>
    </w:p>
    <w:p w14:paraId="29019C04">
      <w:pPr>
        <w:spacing w:line="360" w:lineRule="auto"/>
        <w:ind w:firstLine="300" w:firstLineChars="50"/>
        <w:rPr>
          <w:color w:val="auto"/>
          <w:sz w:val="60"/>
          <w:szCs w:val="60"/>
          <w:highlight w:val="none"/>
        </w:rPr>
      </w:pPr>
    </w:p>
    <w:p w14:paraId="3DCB194C">
      <w:pPr>
        <w:jc w:val="center"/>
        <w:rPr>
          <w:b/>
          <w:bCs/>
          <w:color w:val="auto"/>
          <w:sz w:val="60"/>
          <w:szCs w:val="60"/>
          <w:highlight w:val="none"/>
        </w:rPr>
      </w:pPr>
      <w:r>
        <w:rPr>
          <w:rFonts w:hint="eastAsia"/>
          <w:b/>
          <w:bCs/>
          <w:color w:val="auto"/>
          <w:sz w:val="60"/>
          <w:szCs w:val="60"/>
          <w:highlight w:val="none"/>
        </w:rPr>
        <w:t>常州卫生高等职业技术学校2026年暑期修缮项目</w:t>
      </w:r>
      <w:r>
        <w:rPr>
          <w:b/>
          <w:bCs/>
          <w:color w:val="auto"/>
          <w:sz w:val="60"/>
          <w:szCs w:val="60"/>
          <w:highlight w:val="none"/>
        </w:rPr>
        <w:t>竞争性磋商文件</w:t>
      </w:r>
    </w:p>
    <w:p w14:paraId="33965C44">
      <w:pPr>
        <w:spacing w:line="360" w:lineRule="auto"/>
        <w:jc w:val="center"/>
        <w:rPr>
          <w:rFonts w:hint="eastAsia" w:ascii="宋体" w:hAnsi="宋体"/>
          <w:b/>
          <w:bCs/>
          <w:color w:val="auto"/>
          <w:sz w:val="60"/>
          <w:szCs w:val="60"/>
          <w:highlight w:val="none"/>
        </w:rPr>
      </w:pPr>
    </w:p>
    <w:p w14:paraId="2A5E6682">
      <w:pPr>
        <w:spacing w:line="360" w:lineRule="auto"/>
        <w:jc w:val="center"/>
        <w:rPr>
          <w:rFonts w:hint="eastAsia" w:ascii="宋体" w:hAnsi="宋体"/>
          <w:b/>
          <w:bCs/>
          <w:color w:val="auto"/>
          <w:sz w:val="60"/>
          <w:szCs w:val="60"/>
          <w:highlight w:val="none"/>
        </w:rPr>
      </w:pPr>
    </w:p>
    <w:p w14:paraId="028F5FD9">
      <w:pPr>
        <w:tabs>
          <w:tab w:val="left" w:pos="5609"/>
        </w:tabs>
        <w:spacing w:line="360" w:lineRule="auto"/>
        <w:ind w:left="2832" w:leftChars="444" w:hanging="1900" w:hangingChars="528"/>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rPr>
        <w:t>常州卫生高等职业技术学校2026年暑期修缮项目（政府采购工程）（面向中小企业）</w:t>
      </w:r>
    </w:p>
    <w:p w14:paraId="515CBA6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JSZC-320400-SYZB-C2026-0044</w:t>
      </w:r>
    </w:p>
    <w:p w14:paraId="6D6818EC">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常州卫生高等职业技术学校</w:t>
      </w:r>
    </w:p>
    <w:p w14:paraId="4D911137">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514E5202">
      <w:pPr>
        <w:spacing w:before="100" w:after="240" w:line="500" w:lineRule="exact"/>
        <w:jc w:val="center"/>
        <w:rPr>
          <w:b/>
          <w:bCs/>
          <w:color w:val="auto"/>
          <w:sz w:val="44"/>
          <w:highlight w:val="none"/>
        </w:rPr>
      </w:pPr>
      <w:r>
        <w:rPr>
          <w:b/>
          <w:bCs/>
          <w:color w:val="auto"/>
          <w:sz w:val="44"/>
          <w:highlight w:val="none"/>
        </w:rPr>
        <w:br w:type="page"/>
      </w:r>
      <w:bookmarkStart w:id="0" w:name="_Toc104818924"/>
    </w:p>
    <w:p w14:paraId="44ACE733">
      <w:pPr>
        <w:spacing w:before="100" w:after="100" w:line="500" w:lineRule="exact"/>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bookmarkEnd w:id="0"/>
    </w:p>
    <w:p w14:paraId="382E6C84">
      <w:pPr>
        <w:spacing w:line="360" w:lineRule="auto"/>
        <w:rPr>
          <w:rFonts w:hint="eastAsia" w:ascii="宋体" w:hAnsi="宋体" w:cs="宋体"/>
          <w:color w:val="auto"/>
          <w:sz w:val="32"/>
          <w:szCs w:val="32"/>
          <w:highlight w:val="none"/>
        </w:rPr>
      </w:pPr>
    </w:p>
    <w:p w14:paraId="6805C763">
      <w:pPr>
        <w:pStyle w:val="11"/>
        <w:tabs>
          <w:tab w:val="right" w:leader="dot" w:pos="9072"/>
          <w:tab w:val="clear" w:pos="1050"/>
          <w:tab w:val="clear" w:pos="8937"/>
        </w:tabs>
        <w:spacing w:line="360" w:lineRule="auto"/>
        <w:rPr>
          <w:rFonts w:hint="eastAsia" w:cs="宋体"/>
          <w:b w:val="0"/>
          <w:color w:val="auto"/>
          <w:sz w:val="32"/>
          <w:szCs w:val="32"/>
          <w:highlight w:val="none"/>
        </w:rPr>
      </w:pPr>
    </w:p>
    <w:p w14:paraId="40BF0D16">
      <w:pPr>
        <w:pStyle w:val="11"/>
        <w:tabs>
          <w:tab w:val="right" w:leader="dot" w:pos="9072"/>
          <w:tab w:val="clear" w:pos="1050"/>
          <w:tab w:val="clear" w:pos="8937"/>
        </w:tabs>
        <w:spacing w:line="360" w:lineRule="auto"/>
        <w:rPr>
          <w:rFonts w:hint="eastAsia"/>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"_Toc26361" </w:instrText>
      </w:r>
      <w:r>
        <w:rPr>
          <w:color w:val="auto"/>
          <w:highlight w:val="none"/>
        </w:rPr>
        <w:fldChar w:fldCharType="separate"/>
      </w:r>
      <w:r>
        <w:rPr>
          <w:color w:val="auto"/>
          <w:sz w:val="32"/>
          <w:szCs w:val="32"/>
          <w:highlight w:val="none"/>
        </w:rPr>
        <w:t>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_Toc26361 \h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color w:val="auto"/>
          <w:sz w:val="32"/>
          <w:szCs w:val="32"/>
          <w:highlight w:val="none"/>
        </w:rPr>
        <w:fldChar w:fldCharType="end"/>
      </w:r>
    </w:p>
    <w:p w14:paraId="7C65E2F3">
      <w:pPr>
        <w:pStyle w:val="11"/>
        <w:tabs>
          <w:tab w:val="right" w:leader="dot" w:pos="9072"/>
          <w:tab w:val="clear" w:pos="1050"/>
          <w:tab w:val="clear" w:pos="8937"/>
        </w:tabs>
        <w:spacing w:line="360" w:lineRule="auto"/>
        <w:rPr>
          <w:rFonts w:hint="eastAsia"/>
          <w:color w:val="auto"/>
          <w:sz w:val="32"/>
          <w:szCs w:val="32"/>
          <w:highlight w:val="none"/>
        </w:rPr>
      </w:pPr>
      <w:r>
        <w:rPr>
          <w:color w:val="auto"/>
          <w:highlight w:val="none"/>
        </w:rPr>
        <w:fldChar w:fldCharType="begin"/>
      </w:r>
      <w:r>
        <w:rPr>
          <w:color w:val="auto"/>
          <w:highlight w:val="none"/>
        </w:rPr>
        <w:instrText xml:space="preserve"> HYPERLINK \l "_Toc6147" </w:instrText>
      </w:r>
      <w:r>
        <w:rPr>
          <w:color w:val="auto"/>
          <w:highlight w:val="none"/>
        </w:rPr>
        <w:fldChar w:fldCharType="separate"/>
      </w:r>
      <w:r>
        <w:rPr>
          <w:color w:val="auto"/>
          <w:sz w:val="32"/>
          <w:szCs w:val="32"/>
          <w:highlight w:val="none"/>
        </w:rPr>
        <w:t>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_Toc6147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color w:val="auto"/>
          <w:sz w:val="32"/>
          <w:szCs w:val="32"/>
          <w:highlight w:val="none"/>
        </w:rPr>
        <w:fldChar w:fldCharType="end"/>
      </w:r>
    </w:p>
    <w:p w14:paraId="6BC07BEF">
      <w:pPr>
        <w:pStyle w:val="11"/>
        <w:tabs>
          <w:tab w:val="right" w:leader="dot" w:pos="9072"/>
          <w:tab w:val="clear" w:pos="1050"/>
          <w:tab w:val="clear" w:pos="8937"/>
        </w:tabs>
        <w:spacing w:line="360" w:lineRule="auto"/>
        <w:rPr>
          <w:rFonts w:hint="eastAsia"/>
          <w:color w:val="auto"/>
          <w:sz w:val="32"/>
          <w:szCs w:val="32"/>
          <w:highlight w:val="none"/>
        </w:rPr>
      </w:pPr>
      <w:r>
        <w:rPr>
          <w:color w:val="auto"/>
          <w:highlight w:val="none"/>
        </w:rPr>
        <w:fldChar w:fldCharType="begin"/>
      </w:r>
      <w:r>
        <w:rPr>
          <w:color w:val="auto"/>
          <w:highlight w:val="none"/>
        </w:rPr>
        <w:instrText xml:space="preserve"> HYPERLINK \l "_Toc8164" </w:instrText>
      </w:r>
      <w:r>
        <w:rPr>
          <w:color w:val="auto"/>
          <w:highlight w:val="none"/>
        </w:rPr>
        <w:fldChar w:fldCharType="separate"/>
      </w:r>
      <w:r>
        <w:rPr>
          <w:color w:val="auto"/>
          <w:sz w:val="32"/>
          <w:szCs w:val="32"/>
          <w:highlight w:val="none"/>
        </w:rPr>
        <w:t>第三章   评审</w:t>
      </w:r>
      <w:r>
        <w:rPr>
          <w:rFonts w:hint="eastAsia"/>
          <w:color w:val="auto"/>
          <w:sz w:val="32"/>
          <w:szCs w:val="32"/>
          <w:highlight w:val="none"/>
        </w:rPr>
        <w:t>程序、评审</w:t>
      </w:r>
      <w:r>
        <w:rPr>
          <w:color w:val="auto"/>
          <w:sz w:val="32"/>
          <w:szCs w:val="32"/>
          <w:highlight w:val="none"/>
        </w:rPr>
        <w:t>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_Toc8164 \h </w:instrText>
      </w:r>
      <w:r>
        <w:rPr>
          <w:color w:val="auto"/>
          <w:sz w:val="32"/>
          <w:szCs w:val="32"/>
          <w:highlight w:val="none"/>
        </w:rPr>
        <w:fldChar w:fldCharType="separate"/>
      </w:r>
      <w:r>
        <w:rPr>
          <w:color w:val="auto"/>
          <w:sz w:val="32"/>
          <w:szCs w:val="32"/>
          <w:highlight w:val="none"/>
        </w:rPr>
        <w:t>22</w:t>
      </w:r>
      <w:r>
        <w:rPr>
          <w:color w:val="auto"/>
          <w:sz w:val="32"/>
          <w:szCs w:val="32"/>
          <w:highlight w:val="none"/>
        </w:rPr>
        <w:fldChar w:fldCharType="end"/>
      </w:r>
      <w:r>
        <w:rPr>
          <w:color w:val="auto"/>
          <w:sz w:val="32"/>
          <w:szCs w:val="32"/>
          <w:highlight w:val="none"/>
        </w:rPr>
        <w:fldChar w:fldCharType="end"/>
      </w:r>
    </w:p>
    <w:p w14:paraId="525F832C">
      <w:pPr>
        <w:pStyle w:val="11"/>
        <w:tabs>
          <w:tab w:val="right" w:leader="dot" w:pos="9072"/>
          <w:tab w:val="clear" w:pos="1050"/>
          <w:tab w:val="clear" w:pos="8937"/>
        </w:tabs>
        <w:spacing w:line="360" w:lineRule="auto"/>
        <w:rPr>
          <w:rFonts w:hint="eastAsia"/>
          <w:color w:val="auto"/>
          <w:sz w:val="32"/>
          <w:szCs w:val="32"/>
          <w:highlight w:val="none"/>
        </w:rPr>
      </w:pPr>
      <w:r>
        <w:rPr>
          <w:color w:val="auto"/>
          <w:highlight w:val="none"/>
        </w:rPr>
        <w:fldChar w:fldCharType="begin"/>
      </w:r>
      <w:r>
        <w:rPr>
          <w:color w:val="auto"/>
          <w:highlight w:val="none"/>
        </w:rPr>
        <w:instrText xml:space="preserve"> HYPERLINK \l "_Toc10818" </w:instrText>
      </w:r>
      <w:r>
        <w:rPr>
          <w:color w:val="auto"/>
          <w:highlight w:val="none"/>
        </w:rPr>
        <w:fldChar w:fldCharType="separate"/>
      </w:r>
      <w:r>
        <w:rPr>
          <w:color w:val="auto"/>
          <w:sz w:val="32"/>
          <w:szCs w:val="32"/>
          <w:highlight w:val="none"/>
        </w:rPr>
        <w:t>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_Toc10818 \h </w:instrText>
      </w:r>
      <w:r>
        <w:rPr>
          <w:color w:val="auto"/>
          <w:sz w:val="32"/>
          <w:szCs w:val="32"/>
          <w:highlight w:val="none"/>
        </w:rPr>
        <w:fldChar w:fldCharType="separate"/>
      </w:r>
      <w:r>
        <w:rPr>
          <w:color w:val="auto"/>
          <w:sz w:val="32"/>
          <w:szCs w:val="32"/>
          <w:highlight w:val="none"/>
        </w:rPr>
        <w:t>32</w:t>
      </w:r>
      <w:r>
        <w:rPr>
          <w:color w:val="auto"/>
          <w:sz w:val="32"/>
          <w:szCs w:val="32"/>
          <w:highlight w:val="none"/>
        </w:rPr>
        <w:fldChar w:fldCharType="end"/>
      </w:r>
      <w:r>
        <w:rPr>
          <w:color w:val="auto"/>
          <w:sz w:val="32"/>
          <w:szCs w:val="32"/>
          <w:highlight w:val="none"/>
        </w:rPr>
        <w:fldChar w:fldCharType="end"/>
      </w:r>
    </w:p>
    <w:p w14:paraId="353818DC">
      <w:pPr>
        <w:pStyle w:val="11"/>
        <w:tabs>
          <w:tab w:val="right" w:leader="dot" w:pos="9072"/>
          <w:tab w:val="clear" w:pos="1050"/>
          <w:tab w:val="clear" w:pos="8937"/>
        </w:tabs>
        <w:spacing w:line="360" w:lineRule="auto"/>
        <w:rPr>
          <w:rFonts w:hint="eastAsia"/>
          <w:color w:val="auto"/>
          <w:sz w:val="32"/>
          <w:szCs w:val="32"/>
          <w:highlight w:val="none"/>
        </w:rPr>
      </w:pPr>
      <w:r>
        <w:rPr>
          <w:color w:val="auto"/>
          <w:highlight w:val="none"/>
        </w:rPr>
        <w:fldChar w:fldCharType="begin"/>
      </w:r>
      <w:r>
        <w:rPr>
          <w:color w:val="auto"/>
          <w:highlight w:val="none"/>
        </w:rPr>
        <w:instrText xml:space="preserve"> HYPERLINK \l "_Toc17556" </w:instrText>
      </w:r>
      <w:r>
        <w:rPr>
          <w:color w:val="auto"/>
          <w:highlight w:val="none"/>
        </w:rPr>
        <w:fldChar w:fldCharType="separate"/>
      </w:r>
      <w:r>
        <w:rPr>
          <w:color w:val="auto"/>
          <w:sz w:val="32"/>
          <w:szCs w:val="32"/>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_Toc17556 \h </w:instrText>
      </w:r>
      <w:r>
        <w:rPr>
          <w:color w:val="auto"/>
          <w:sz w:val="32"/>
          <w:szCs w:val="32"/>
          <w:highlight w:val="none"/>
        </w:rPr>
        <w:fldChar w:fldCharType="separate"/>
      </w:r>
      <w:r>
        <w:rPr>
          <w:color w:val="auto"/>
          <w:sz w:val="32"/>
          <w:szCs w:val="32"/>
          <w:highlight w:val="none"/>
        </w:rPr>
        <w:t>39</w:t>
      </w:r>
      <w:r>
        <w:rPr>
          <w:color w:val="auto"/>
          <w:sz w:val="32"/>
          <w:szCs w:val="32"/>
          <w:highlight w:val="none"/>
        </w:rPr>
        <w:fldChar w:fldCharType="end"/>
      </w:r>
      <w:r>
        <w:rPr>
          <w:color w:val="auto"/>
          <w:sz w:val="32"/>
          <w:szCs w:val="32"/>
          <w:highlight w:val="none"/>
        </w:rPr>
        <w:fldChar w:fldCharType="end"/>
      </w:r>
    </w:p>
    <w:p w14:paraId="441E7CA6">
      <w:pPr>
        <w:pStyle w:val="11"/>
        <w:tabs>
          <w:tab w:val="right" w:leader="dot" w:pos="9072"/>
          <w:tab w:val="clear" w:pos="1050"/>
          <w:tab w:val="clear" w:pos="8937"/>
        </w:tabs>
        <w:spacing w:line="360" w:lineRule="auto"/>
        <w:rPr>
          <w:rFonts w:hint="eastAsia"/>
          <w:color w:val="auto"/>
          <w:sz w:val="32"/>
          <w:szCs w:val="32"/>
          <w:highlight w:val="none"/>
        </w:rPr>
      </w:pPr>
      <w:r>
        <w:rPr>
          <w:color w:val="auto"/>
          <w:highlight w:val="none"/>
        </w:rPr>
        <w:fldChar w:fldCharType="begin"/>
      </w:r>
      <w:r>
        <w:rPr>
          <w:color w:val="auto"/>
          <w:highlight w:val="none"/>
        </w:rPr>
        <w:instrText xml:space="preserve"> HYPERLINK \l "_Toc11016" </w:instrText>
      </w:r>
      <w:r>
        <w:rPr>
          <w:color w:val="auto"/>
          <w:highlight w:val="none"/>
        </w:rPr>
        <w:fldChar w:fldCharType="separate"/>
      </w:r>
      <w:r>
        <w:rPr>
          <w:color w:val="auto"/>
          <w:sz w:val="32"/>
          <w:szCs w:val="32"/>
          <w:highlight w:val="none"/>
        </w:rPr>
        <w:t>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_Toc11016 \h </w:instrText>
      </w:r>
      <w:r>
        <w:rPr>
          <w:color w:val="auto"/>
          <w:sz w:val="32"/>
          <w:szCs w:val="32"/>
          <w:highlight w:val="none"/>
        </w:rPr>
        <w:fldChar w:fldCharType="separate"/>
      </w:r>
      <w:r>
        <w:rPr>
          <w:color w:val="auto"/>
          <w:sz w:val="32"/>
          <w:szCs w:val="32"/>
          <w:highlight w:val="none"/>
        </w:rPr>
        <w:t>49</w:t>
      </w:r>
      <w:r>
        <w:rPr>
          <w:color w:val="auto"/>
          <w:sz w:val="32"/>
          <w:szCs w:val="32"/>
          <w:highlight w:val="none"/>
        </w:rPr>
        <w:fldChar w:fldCharType="end"/>
      </w:r>
      <w:r>
        <w:rPr>
          <w:color w:val="auto"/>
          <w:sz w:val="32"/>
          <w:szCs w:val="32"/>
          <w:highlight w:val="none"/>
        </w:rPr>
        <w:fldChar w:fldCharType="end"/>
      </w:r>
    </w:p>
    <w:p w14:paraId="60A0C624">
      <w:pPr>
        <w:pStyle w:val="11"/>
        <w:spacing w:line="360" w:lineRule="auto"/>
        <w:rPr>
          <w:rFonts w:hint="eastAsia" w:cs="宋体"/>
          <w:b w:val="0"/>
          <w:color w:val="auto"/>
          <w:sz w:val="32"/>
          <w:szCs w:val="32"/>
          <w:highlight w:val="none"/>
        </w:rPr>
      </w:pPr>
      <w:r>
        <w:rPr>
          <w:rFonts w:hint="eastAsia" w:cs="宋体"/>
          <w:color w:val="auto"/>
          <w:sz w:val="32"/>
          <w:szCs w:val="32"/>
          <w:highlight w:val="none"/>
        </w:rPr>
        <w:fldChar w:fldCharType="end"/>
      </w:r>
    </w:p>
    <w:p w14:paraId="12DE4B1E">
      <w:pPr>
        <w:pStyle w:val="11"/>
        <w:spacing w:line="360" w:lineRule="auto"/>
        <w:rPr>
          <w:rFonts w:hint="eastAsia" w:cs="宋体"/>
          <w:b w:val="0"/>
          <w:color w:val="auto"/>
          <w:sz w:val="32"/>
          <w:szCs w:val="32"/>
          <w:highlight w:val="none"/>
        </w:rPr>
      </w:pPr>
    </w:p>
    <w:p w14:paraId="74F470EC">
      <w:pPr>
        <w:spacing w:line="360" w:lineRule="auto"/>
        <w:jc w:val="center"/>
        <w:outlineLvl w:val="0"/>
        <w:rPr>
          <w:rFonts w:hint="eastAsia" w:ascii="宋体" w:hAnsi="宋体" w:cs="宋体"/>
          <w:b/>
          <w:color w:val="auto"/>
          <w:sz w:val="32"/>
          <w:szCs w:val="32"/>
          <w:highlight w:val="none"/>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609D0252">
      <w:pPr>
        <w:spacing w:line="360" w:lineRule="auto"/>
        <w:jc w:val="center"/>
        <w:outlineLvl w:val="0"/>
        <w:rPr>
          <w:b/>
          <w:color w:val="auto"/>
          <w:sz w:val="36"/>
          <w:szCs w:val="36"/>
          <w:highlight w:val="none"/>
        </w:rPr>
      </w:pPr>
      <w:bookmarkStart w:id="1" w:name="_Toc26361"/>
      <w:r>
        <w:rPr>
          <w:b/>
          <w:color w:val="auto"/>
          <w:sz w:val="36"/>
          <w:szCs w:val="36"/>
          <w:highlight w:val="none"/>
        </w:rPr>
        <w:t>第一章   采购邀请</w:t>
      </w:r>
      <w:bookmarkEnd w:id="1"/>
      <w:bookmarkStart w:id="2" w:name="_Toc35393790"/>
      <w:bookmarkStart w:id="3" w:name="_Toc28359002"/>
      <w:bookmarkStart w:id="4" w:name="_Toc35393621"/>
      <w:bookmarkStart w:id="5" w:name="_Toc28359079"/>
      <w:bookmarkStart w:id="6" w:name="_Hlk24379207"/>
    </w:p>
    <w:p w14:paraId="026EF5E9">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一、项目基本情况</w:t>
      </w:r>
      <w:bookmarkEnd w:id="2"/>
      <w:bookmarkEnd w:id="3"/>
      <w:bookmarkEnd w:id="4"/>
      <w:bookmarkEnd w:id="5"/>
    </w:p>
    <w:p w14:paraId="75DC914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JSZC-320400-SYZB-C2026-0044</w:t>
      </w:r>
      <w:r>
        <w:rPr>
          <w:rFonts w:hint="eastAsia" w:ascii="宋体" w:hAnsi="宋体" w:cs="宋体"/>
          <w:color w:val="auto"/>
          <w:sz w:val="24"/>
          <w:highlight w:val="none"/>
          <w:u w:val="single"/>
        </w:rPr>
        <w:t xml:space="preserve"> </w:t>
      </w:r>
    </w:p>
    <w:p w14:paraId="29BD71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常州卫生高等职业技术学校2026年暑期修缮项目（政府采购工程）（面向中小企业） </w:t>
      </w:r>
    </w:p>
    <w:p w14:paraId="63C5F0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3.采购方式：竞争性磋商</w:t>
      </w:r>
    </w:p>
    <w:bookmarkEnd w:id="6"/>
    <w:p w14:paraId="3BA611F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4.项目预算金额：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300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万元、项目最高限价：</w:t>
      </w:r>
      <w:r>
        <w:rPr>
          <w:rFonts w:hint="eastAsia" w:ascii="宋体" w:hAnsi="宋体" w:cs="宋体"/>
          <w:color w:val="auto"/>
          <w:sz w:val="24"/>
          <w:highlight w:val="none"/>
          <w:u w:val="single"/>
        </w:rPr>
        <w:t xml:space="preserve"> 2603445.36 </w:t>
      </w:r>
      <w:r>
        <w:rPr>
          <w:rFonts w:hint="eastAsia" w:ascii="宋体" w:hAnsi="宋体" w:cs="宋体"/>
          <w:color w:val="auto"/>
          <w:sz w:val="24"/>
          <w:highlight w:val="none"/>
        </w:rPr>
        <w:t>元</w:t>
      </w:r>
    </w:p>
    <w:p w14:paraId="6D0D092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5.采购需求：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649"/>
        <w:gridCol w:w="670"/>
        <w:gridCol w:w="5523"/>
      </w:tblGrid>
      <w:tr w14:paraId="67DD0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46" w:type="dxa"/>
            <w:vAlign w:val="center"/>
          </w:tcPr>
          <w:p w14:paraId="2825DD43">
            <w:pPr>
              <w:jc w:val="center"/>
              <w:rPr>
                <w:rFonts w:hint="eastAsia" w:ascii="宋体" w:hAnsi="宋体" w:cs="宋体"/>
                <w:bCs/>
                <w:color w:val="auto"/>
                <w:sz w:val="24"/>
                <w:highlight w:val="none"/>
              </w:rPr>
            </w:pPr>
            <w:r>
              <w:rPr>
                <w:rFonts w:hint="eastAsia" w:ascii="宋体" w:hAnsi="宋体" w:cs="宋体"/>
                <w:bCs/>
                <w:color w:val="auto"/>
                <w:sz w:val="24"/>
                <w:highlight w:val="none"/>
              </w:rPr>
              <w:t>标的名称</w:t>
            </w:r>
          </w:p>
        </w:tc>
        <w:tc>
          <w:tcPr>
            <w:tcW w:w="1649" w:type="dxa"/>
            <w:vAlign w:val="center"/>
          </w:tcPr>
          <w:p w14:paraId="4FA62BFB">
            <w:pPr>
              <w:jc w:val="center"/>
              <w:rPr>
                <w:rFonts w:hint="eastAsia" w:ascii="宋体" w:hAnsi="宋体" w:cs="宋体"/>
                <w:bCs/>
                <w:color w:val="auto"/>
                <w:sz w:val="24"/>
                <w:highlight w:val="none"/>
              </w:rPr>
            </w:pPr>
            <w:r>
              <w:rPr>
                <w:rFonts w:hint="eastAsia" w:ascii="宋体" w:hAnsi="宋体" w:cs="宋体"/>
                <w:bCs/>
                <w:color w:val="auto"/>
                <w:sz w:val="24"/>
                <w:highlight w:val="none"/>
              </w:rPr>
              <w:t>采购预算金额（</w:t>
            </w:r>
            <w:r>
              <w:rPr>
                <w:rFonts w:hint="eastAsia" w:ascii="宋体" w:hAnsi="宋体" w:cs="宋体"/>
                <w:color w:val="auto"/>
                <w:sz w:val="24"/>
                <w:highlight w:val="none"/>
              </w:rPr>
              <w:t>万</w:t>
            </w:r>
            <w:r>
              <w:rPr>
                <w:rFonts w:hint="eastAsia" w:ascii="宋体" w:hAnsi="宋体" w:cs="宋体"/>
                <w:bCs/>
                <w:color w:val="auto"/>
                <w:sz w:val="24"/>
                <w:highlight w:val="none"/>
              </w:rPr>
              <w:t>元）</w:t>
            </w:r>
          </w:p>
        </w:tc>
        <w:tc>
          <w:tcPr>
            <w:tcW w:w="670" w:type="dxa"/>
            <w:vAlign w:val="center"/>
          </w:tcPr>
          <w:p w14:paraId="34F21174">
            <w:pPr>
              <w:jc w:val="center"/>
              <w:rPr>
                <w:rFonts w:hint="eastAsia" w:ascii="宋体" w:hAnsi="宋体" w:cs="宋体"/>
                <w:bCs/>
                <w:color w:val="auto"/>
                <w:sz w:val="24"/>
                <w:highlight w:val="none"/>
              </w:rPr>
            </w:pPr>
            <w:r>
              <w:rPr>
                <w:rFonts w:hint="eastAsia" w:ascii="宋体" w:hAnsi="宋体" w:cs="宋体"/>
                <w:bCs/>
                <w:color w:val="auto"/>
                <w:sz w:val="24"/>
                <w:highlight w:val="none"/>
              </w:rPr>
              <w:t>数量</w:t>
            </w:r>
          </w:p>
        </w:tc>
        <w:tc>
          <w:tcPr>
            <w:tcW w:w="5523" w:type="dxa"/>
            <w:vAlign w:val="center"/>
          </w:tcPr>
          <w:p w14:paraId="45945DBE">
            <w:pPr>
              <w:jc w:val="center"/>
              <w:rPr>
                <w:rFonts w:hint="eastAsia" w:ascii="宋体" w:hAnsi="宋体" w:cs="宋体"/>
                <w:color w:val="auto"/>
                <w:sz w:val="24"/>
                <w:highlight w:val="none"/>
              </w:rPr>
            </w:pPr>
            <w:r>
              <w:rPr>
                <w:rFonts w:hint="eastAsia" w:ascii="宋体" w:hAnsi="宋体" w:cs="宋体"/>
                <w:color w:val="auto"/>
                <w:sz w:val="24"/>
                <w:highlight w:val="none"/>
              </w:rPr>
              <w:t>简要技术需求或服务要求</w:t>
            </w:r>
          </w:p>
        </w:tc>
      </w:tr>
      <w:tr w14:paraId="7CDB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vAlign w:val="center"/>
          </w:tcPr>
          <w:p w14:paraId="25DF3D5A">
            <w:pPr>
              <w:jc w:val="center"/>
              <w:rPr>
                <w:rFonts w:hint="eastAsia" w:ascii="宋体" w:hAnsi="宋体" w:cs="宋体"/>
                <w:bCs/>
                <w:color w:val="auto"/>
                <w:sz w:val="24"/>
                <w:highlight w:val="none"/>
              </w:rPr>
            </w:pPr>
            <w:r>
              <w:rPr>
                <w:rFonts w:hint="eastAsia" w:ascii="宋体" w:hAnsi="宋体" w:cs="宋体"/>
                <w:bCs/>
                <w:color w:val="auto"/>
                <w:sz w:val="24"/>
                <w:highlight w:val="none"/>
              </w:rPr>
              <w:t>常州卫生高等职业技术学校2026年暑期修缮</w:t>
            </w:r>
          </w:p>
        </w:tc>
        <w:tc>
          <w:tcPr>
            <w:tcW w:w="1649" w:type="dxa"/>
            <w:vAlign w:val="center"/>
          </w:tcPr>
          <w:p w14:paraId="00416217">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300</w:t>
            </w:r>
          </w:p>
        </w:tc>
        <w:tc>
          <w:tcPr>
            <w:tcW w:w="670" w:type="dxa"/>
            <w:vAlign w:val="center"/>
          </w:tcPr>
          <w:p w14:paraId="675CCF44">
            <w:pPr>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5523" w:type="dxa"/>
            <w:vAlign w:val="center"/>
          </w:tcPr>
          <w:p w14:paraId="6E884569">
            <w:pPr>
              <w:jc w:val="left"/>
              <w:rPr>
                <w:rFonts w:hint="eastAsia" w:ascii="宋体" w:hAnsi="宋体" w:cs="宋体"/>
                <w:color w:val="auto"/>
                <w:kern w:val="0"/>
                <w:sz w:val="24"/>
                <w:highlight w:val="none"/>
              </w:rPr>
            </w:pPr>
            <w:r>
              <w:rPr>
                <w:rFonts w:hint="eastAsia" w:ascii="宋体" w:hAnsi="宋体" w:cs="宋体"/>
                <w:bCs/>
                <w:color w:val="auto"/>
                <w:sz w:val="24"/>
                <w:highlight w:val="none"/>
              </w:rPr>
              <w:t>包括但不限于竞争性磋商文件及其基本技术要求范围内相应工程开工前的准备（包括现场踏勘、技术核对等）、技术资料、施工、技术服务、主管单位验收、</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及维保服务和竞争性磋商文件所要求的相关工程等全部内容。</w:t>
            </w:r>
          </w:p>
        </w:tc>
      </w:tr>
    </w:tbl>
    <w:p w14:paraId="12FAD3C7">
      <w:pPr>
        <w:spacing w:before="120" w:beforeLines="50"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6.合同履行期限：</w:t>
      </w:r>
      <w:r>
        <w:rPr>
          <w:rFonts w:hint="eastAsia" w:ascii="宋体" w:hAnsi="宋体" w:cs="宋体"/>
          <w:color w:val="auto"/>
          <w:sz w:val="24"/>
          <w:highlight w:val="none"/>
          <w:u w:val="single"/>
        </w:rPr>
        <w:t xml:space="preserve"> 30日历天。 </w:t>
      </w:r>
    </w:p>
    <w:p w14:paraId="3B9B378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7.本项目是否接受联合体：□是  ■否。</w:t>
      </w:r>
    </w:p>
    <w:p w14:paraId="4CAF409D">
      <w:pPr>
        <w:snapToGrid w:val="0"/>
        <w:spacing w:line="360" w:lineRule="auto"/>
        <w:rPr>
          <w:rFonts w:hint="eastAsia" w:ascii="宋体" w:hAnsi="宋体"/>
          <w:b/>
          <w:bCs/>
          <w:color w:val="auto"/>
          <w:sz w:val="24"/>
          <w:highlight w:val="none"/>
        </w:rPr>
      </w:pPr>
      <w:bookmarkStart w:id="7" w:name="_Toc28359003"/>
      <w:bookmarkStart w:id="8" w:name="_Toc35393791"/>
      <w:bookmarkStart w:id="9" w:name="_Toc28359080"/>
      <w:bookmarkStart w:id="10" w:name="_Toc35393622"/>
      <w:r>
        <w:rPr>
          <w:rFonts w:hint="eastAsia" w:ascii="宋体" w:hAnsi="宋体"/>
          <w:b/>
          <w:bCs/>
          <w:color w:val="auto"/>
          <w:sz w:val="24"/>
          <w:highlight w:val="none"/>
        </w:rPr>
        <w:t>二、申请人的资格要求（须同时满足）</w:t>
      </w:r>
      <w:bookmarkEnd w:id="7"/>
      <w:bookmarkEnd w:id="8"/>
      <w:bookmarkEnd w:id="9"/>
      <w:bookmarkEnd w:id="10"/>
    </w:p>
    <w:p w14:paraId="7A4EB4CD">
      <w:pPr>
        <w:spacing w:line="360" w:lineRule="auto"/>
        <w:ind w:firstLine="480" w:firstLineChars="200"/>
        <w:rPr>
          <w:rFonts w:hint="eastAsia" w:ascii="宋体" w:hAnsi="宋体" w:cs="宋体"/>
          <w:color w:val="auto"/>
          <w:sz w:val="24"/>
          <w:highlight w:val="none"/>
        </w:rPr>
      </w:pPr>
      <w:bookmarkStart w:id="11" w:name="_Toc28359081"/>
      <w:bookmarkStart w:id="12" w:name="_Toc28359004"/>
      <w:r>
        <w:rPr>
          <w:rFonts w:hint="eastAsia" w:ascii="宋体" w:hAnsi="宋体" w:cs="宋体"/>
          <w:color w:val="auto"/>
          <w:sz w:val="24"/>
          <w:highlight w:val="none"/>
        </w:rPr>
        <w:t>1.满足《中华人民共和国政府采购法》第二十二条规定以及下列情形：</w:t>
      </w:r>
    </w:p>
    <w:p w14:paraId="387B20A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6A043A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2D50B5E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w:t>
      </w:r>
    </w:p>
    <w:p w14:paraId="0C5F8DB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 中小企业政策</w:t>
      </w:r>
    </w:p>
    <w:p w14:paraId="48CCE97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7826673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■本项目专门面向  ■中小 □小微企业  采购。即：提供的工程全部由中小企业承接（提供《中小企业声明函》）。</w:t>
      </w:r>
    </w:p>
    <w:p w14:paraId="74522D5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FA1B7A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A101853">
      <w:pPr>
        <w:spacing w:line="360" w:lineRule="auto"/>
        <w:ind w:firstLine="480" w:firstLineChars="200"/>
        <w:rPr>
          <w:rFonts w:hint="eastAsia"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668215FF">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3.1本项目是否接受分支机构参与响应：□是   ■否；</w:t>
      </w:r>
    </w:p>
    <w:p w14:paraId="2792BC6B">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 本项目是否属于政府购买服务：</w:t>
      </w:r>
    </w:p>
    <w:p w14:paraId="4353141C">
      <w:pPr>
        <w:tabs>
          <w:tab w:val="left" w:pos="900"/>
          <w:tab w:val="left" w:pos="1134"/>
          <w:tab w:val="left" w:pos="1589"/>
          <w:tab w:val="left" w:pos="5521"/>
        </w:tabs>
        <w:snapToGrid w:val="0"/>
        <w:spacing w:line="360" w:lineRule="auto"/>
        <w:ind w:left="991" w:leftChars="472" w:firstLine="2"/>
        <w:rPr>
          <w:rFonts w:hint="eastAsia" w:ascii="宋体" w:hAnsi="宋体" w:cs="宋体"/>
          <w:color w:val="auto"/>
          <w:sz w:val="24"/>
          <w:highlight w:val="none"/>
        </w:rPr>
      </w:pPr>
      <w:r>
        <w:rPr>
          <w:rFonts w:hint="eastAsia" w:ascii="宋体" w:hAnsi="宋体" w:cs="宋体"/>
          <w:color w:val="auto"/>
          <w:sz w:val="24"/>
          <w:highlight w:val="none"/>
        </w:rPr>
        <w:t>■否</w:t>
      </w:r>
    </w:p>
    <w:p w14:paraId="65375BB3">
      <w:pPr>
        <w:tabs>
          <w:tab w:val="left" w:pos="900"/>
          <w:tab w:val="left" w:pos="1134"/>
          <w:tab w:val="left" w:pos="1589"/>
          <w:tab w:val="left" w:pos="5521"/>
        </w:tabs>
        <w:snapToGrid w:val="0"/>
        <w:spacing w:line="360" w:lineRule="auto"/>
        <w:ind w:left="991" w:leftChars="472" w:firstLine="2"/>
        <w:rPr>
          <w:rFonts w:hint="eastAsia"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17C5C097">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3.3其他特定资格要求：</w:t>
      </w:r>
    </w:p>
    <w:p w14:paraId="187A1D2D">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3.3.1供应商：</w:t>
      </w:r>
    </w:p>
    <w:p w14:paraId="1FBE034B">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（1）具备有效的建筑装修装饰工程专业承包二级及以上资质；具备安全生产条件，并取得有效的安全生产许可证；</w:t>
      </w:r>
    </w:p>
    <w:p w14:paraId="579113B6">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73AE012F">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3.3.2项目负责人：</w:t>
      </w:r>
    </w:p>
    <w:p w14:paraId="757060A2">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（1）具备建筑工程二级及以上注册建造师；</w:t>
      </w:r>
    </w:p>
    <w:p w14:paraId="73380ABA">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（2）注册建造师不得同时在两个或者两个以上单位受聘或者执业；</w:t>
      </w:r>
    </w:p>
    <w:p w14:paraId="480086B8">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（3）注册建造师具有有效的建设行政主管部门核发的安全生产考核合格证（B证）；</w:t>
      </w:r>
    </w:p>
    <w:p w14:paraId="573D1224">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u w:val="single"/>
        </w:rPr>
        <w:t>（4）具有社保机构出具的供应商为项目负责人缴纳社会基本养老保险的</w:t>
      </w:r>
      <w:r>
        <w:rPr>
          <w:rFonts w:hint="eastAsia"/>
          <w:color w:val="auto"/>
          <w:sz w:val="24"/>
          <w:szCs w:val="20"/>
          <w:highlight w:val="none"/>
          <w:u w:val="single"/>
        </w:rPr>
        <w:t>2026年4月至2026年6月</w:t>
      </w:r>
      <w:r>
        <w:rPr>
          <w:rFonts w:hint="eastAsia" w:ascii="宋体" w:hAnsi="宋体" w:cs="宋体"/>
          <w:color w:val="auto"/>
          <w:sz w:val="24"/>
          <w:highlight w:val="none"/>
          <w:u w:val="single"/>
        </w:rPr>
        <w:t>中任意一个月的缴纳凭证。</w:t>
      </w:r>
    </w:p>
    <w:bookmarkEnd w:id="11"/>
    <w:bookmarkEnd w:id="12"/>
    <w:p w14:paraId="5CEDCBFD">
      <w:pPr>
        <w:snapToGrid w:val="0"/>
        <w:spacing w:line="360" w:lineRule="auto"/>
        <w:rPr>
          <w:rFonts w:hint="eastAsia" w:ascii="宋体" w:hAnsi="宋体"/>
          <w:b/>
          <w:bCs/>
          <w:color w:val="auto"/>
          <w:sz w:val="24"/>
          <w:highlight w:val="none"/>
        </w:rPr>
      </w:pPr>
      <w:bookmarkStart w:id="13" w:name="_Toc35393792"/>
      <w:bookmarkStart w:id="14" w:name="_Toc35393623"/>
      <w:r>
        <w:rPr>
          <w:rFonts w:hint="eastAsia" w:ascii="宋体" w:hAnsi="宋体"/>
          <w:b/>
          <w:bCs/>
          <w:color w:val="auto"/>
          <w:sz w:val="24"/>
          <w:highlight w:val="none"/>
        </w:rPr>
        <w:t>三、获取采购文件</w:t>
      </w:r>
      <w:bookmarkEnd w:id="13"/>
      <w:bookmarkEnd w:id="14"/>
    </w:p>
    <w:p w14:paraId="29B78BBE">
      <w:pPr>
        <w:adjustRightInd w:val="0"/>
        <w:snapToGrid w:val="0"/>
        <w:spacing w:line="360" w:lineRule="auto"/>
        <w:ind w:firstLine="480" w:firstLineChars="200"/>
        <w:rPr>
          <w:rFonts w:hint="eastAsia" w:ascii="宋体" w:hAnsi="宋体" w:cs="宋体"/>
          <w:color w:val="auto"/>
          <w:sz w:val="24"/>
          <w:highlight w:val="none"/>
          <w:lang w:bidi="ar"/>
        </w:rPr>
      </w:pPr>
      <w:bookmarkStart w:id="15" w:name="_Toc35393624"/>
      <w:bookmarkStart w:id="16" w:name="_Toc28359082"/>
      <w:bookmarkStart w:id="17" w:name="_Toc35393793"/>
      <w:bookmarkStart w:id="18" w:name="_Toc28359005"/>
      <w:r>
        <w:rPr>
          <w:rFonts w:hint="eastAsia" w:ascii="宋体" w:hAnsi="宋体" w:cs="宋体"/>
          <w:color w:val="auto"/>
          <w:sz w:val="24"/>
          <w:highlight w:val="none"/>
          <w:lang w:bidi="ar"/>
        </w:rPr>
        <w:t>1.时间：</w:t>
      </w:r>
      <w:r>
        <w:rPr>
          <w:rFonts w:hint="eastAsia" w:ascii="宋体" w:hAnsi="宋体" w:cs="宋体"/>
          <w:color w:val="auto"/>
          <w:sz w:val="24"/>
          <w:highlight w:val="none"/>
        </w:rPr>
        <w:t>自磋商文件公告发布之日起5个工作日</w:t>
      </w:r>
      <w:r>
        <w:rPr>
          <w:rFonts w:hint="eastAsia" w:ascii="宋体" w:hAnsi="宋体" w:cs="宋体"/>
          <w:color w:val="auto"/>
          <w:sz w:val="24"/>
          <w:highlight w:val="none"/>
          <w:lang w:bidi="ar"/>
        </w:rPr>
        <w:t>。</w:t>
      </w:r>
    </w:p>
    <w:p w14:paraId="0178C1E8">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rPr>
        <w:t>“苏采云”政府采购一体化平台。</w:t>
      </w:r>
    </w:p>
    <w:p w14:paraId="10B39882">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54EE61AF">
      <w:pPr>
        <w:adjustRightInd w:val="0"/>
        <w:snapToGrid w:val="0"/>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58264D3A">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四、</w:t>
      </w:r>
      <w:bookmarkEnd w:id="15"/>
      <w:bookmarkEnd w:id="16"/>
      <w:bookmarkEnd w:id="17"/>
      <w:bookmarkEnd w:id="18"/>
      <w:r>
        <w:rPr>
          <w:rFonts w:hint="eastAsia" w:ascii="宋体" w:hAnsi="宋体"/>
          <w:b/>
          <w:bCs/>
          <w:color w:val="auto"/>
          <w:sz w:val="24"/>
          <w:highlight w:val="none"/>
        </w:rPr>
        <w:t>响应文件提交</w:t>
      </w:r>
    </w:p>
    <w:p w14:paraId="506D99B6">
      <w:pPr>
        <w:spacing w:line="360" w:lineRule="auto"/>
        <w:ind w:firstLine="480" w:firstLineChars="200"/>
        <w:rPr>
          <w:rFonts w:hint="eastAsia" w:ascii="宋体" w:hAnsi="宋体" w:cs="宋体"/>
          <w:bCs/>
          <w:color w:val="auto"/>
          <w:sz w:val="24"/>
          <w:highlight w:val="none"/>
          <w:u w:val="single"/>
        </w:rPr>
      </w:pPr>
      <w:r>
        <w:rPr>
          <w:rFonts w:hint="eastAsia" w:ascii="宋体" w:hAnsi="宋体" w:cs="宋体"/>
          <w:color w:val="auto"/>
          <w:sz w:val="24"/>
          <w:highlight w:val="none"/>
          <w:lang w:bidi="ar"/>
        </w:rPr>
        <w:t>截止时间：</w:t>
      </w:r>
      <w:r>
        <w:rPr>
          <w:rFonts w:hint="eastAsia" w:ascii="宋体" w:hAnsi="宋体" w:cs="宋体"/>
          <w:color w:val="auto"/>
          <w:sz w:val="24"/>
          <w:highlight w:val="none"/>
          <w:u w:val="single"/>
        </w:rPr>
        <w:t xml:space="preserve"> 2026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23</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9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7AECDAF">
      <w:pPr>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地点：</w:t>
      </w:r>
      <w:r>
        <w:rPr>
          <w:rFonts w:hint="eastAsia" w:ascii="宋体" w:hAnsi="宋体"/>
          <w:color w:val="auto"/>
          <w:sz w:val="24"/>
          <w:highlight w:val="none"/>
          <w:u w:val="single"/>
        </w:rPr>
        <w:t>本项目采用远程“不见面”交易方式，无需到现场提交，请供应商在提交时间截止前提前登入“苏采云”，通过系统在线提交电子磋商响应文件</w:t>
      </w:r>
      <w:r>
        <w:rPr>
          <w:rFonts w:hint="eastAsia" w:ascii="宋体" w:hAnsi="宋体" w:cs="宋体"/>
          <w:color w:val="auto"/>
          <w:sz w:val="24"/>
          <w:highlight w:val="none"/>
          <w:lang w:bidi="ar"/>
        </w:rPr>
        <w:t>。</w:t>
      </w:r>
    </w:p>
    <w:p w14:paraId="28158200">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五、开启</w:t>
      </w:r>
    </w:p>
    <w:p w14:paraId="5C290228">
      <w:pPr>
        <w:spacing w:line="360" w:lineRule="auto"/>
        <w:ind w:firstLine="480" w:firstLineChars="200"/>
        <w:rPr>
          <w:rFonts w:hint="eastAsia" w:ascii="宋体" w:hAnsi="宋体" w:cs="宋体"/>
          <w:bCs/>
          <w:color w:val="auto"/>
          <w:sz w:val="24"/>
          <w:highlight w:val="none"/>
          <w:u w:val="single"/>
        </w:rPr>
      </w:pPr>
      <w:bookmarkStart w:id="19" w:name="_Toc28359084"/>
      <w:bookmarkStart w:id="20" w:name="_Toc35393794"/>
      <w:bookmarkStart w:id="21" w:name="_Toc28359007"/>
      <w:bookmarkStart w:id="22" w:name="_Toc35393625"/>
      <w:r>
        <w:rPr>
          <w:rFonts w:hint="eastAsia" w:ascii="宋体" w:hAnsi="宋体" w:cs="宋体"/>
          <w:color w:val="auto"/>
          <w:sz w:val="24"/>
          <w:highlight w:val="none"/>
          <w:lang w:bidi="ar"/>
        </w:rPr>
        <w:t>时间：</w:t>
      </w:r>
      <w:r>
        <w:rPr>
          <w:rFonts w:hint="eastAsia" w:ascii="宋体" w:hAnsi="宋体" w:cs="宋体"/>
          <w:color w:val="auto"/>
          <w:sz w:val="24"/>
          <w:highlight w:val="none"/>
          <w:u w:val="single"/>
        </w:rPr>
        <w:t xml:space="preserve"> 2026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23</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9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2C448F4D">
      <w:pPr>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地点：</w:t>
      </w:r>
      <w:r>
        <w:rPr>
          <w:rFonts w:hint="eastAsia" w:ascii="宋体" w:hAnsi="宋体"/>
          <w:color w:val="auto"/>
          <w:sz w:val="24"/>
          <w:highlight w:val="none"/>
          <w:u w:val="single"/>
        </w:rPr>
        <w:t>“苏采云”政府采购交易系统网上开标大厅</w:t>
      </w:r>
      <w:r>
        <w:rPr>
          <w:rFonts w:hint="eastAsia" w:ascii="宋体" w:hAnsi="宋体" w:cs="宋体"/>
          <w:color w:val="auto"/>
          <w:sz w:val="24"/>
          <w:highlight w:val="none"/>
          <w:lang w:bidi="ar"/>
        </w:rPr>
        <w:t>。</w:t>
      </w:r>
    </w:p>
    <w:p w14:paraId="5D3A3D7C">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六、公告期限</w:t>
      </w:r>
      <w:bookmarkEnd w:id="19"/>
      <w:bookmarkEnd w:id="20"/>
      <w:bookmarkEnd w:id="21"/>
      <w:bookmarkEnd w:id="22"/>
    </w:p>
    <w:p w14:paraId="1E55A6F3">
      <w:pPr>
        <w:spacing w:line="360" w:lineRule="auto"/>
        <w:ind w:firstLine="480" w:firstLineChars="200"/>
        <w:rPr>
          <w:rFonts w:hint="eastAsia" w:ascii="宋体" w:hAnsi="宋体" w:cs="宋体"/>
          <w:color w:val="auto"/>
          <w:sz w:val="24"/>
          <w:highlight w:val="none"/>
          <w:lang w:bidi="ar"/>
        </w:rPr>
      </w:pPr>
      <w:r>
        <w:rPr>
          <w:rFonts w:hint="eastAsia" w:ascii="宋体" w:hAnsi="宋体" w:cs="宋体"/>
          <w:color w:val="auto"/>
          <w:sz w:val="24"/>
          <w:highlight w:val="none"/>
          <w:lang w:bidi="ar"/>
        </w:rPr>
        <w:t>自本公告发布之日起3个工作日。</w:t>
      </w:r>
    </w:p>
    <w:p w14:paraId="56F27724">
      <w:pPr>
        <w:snapToGrid w:val="0"/>
        <w:spacing w:line="360" w:lineRule="auto"/>
        <w:rPr>
          <w:rFonts w:hint="eastAsia" w:ascii="宋体" w:hAnsi="宋体"/>
          <w:b/>
          <w:bCs/>
          <w:color w:val="auto"/>
          <w:sz w:val="24"/>
          <w:highlight w:val="none"/>
        </w:rPr>
      </w:pPr>
      <w:bookmarkStart w:id="23" w:name="_Toc35393626"/>
      <w:bookmarkStart w:id="24" w:name="_Toc35393795"/>
      <w:r>
        <w:rPr>
          <w:rFonts w:hint="eastAsia" w:ascii="宋体" w:hAnsi="宋体"/>
          <w:b/>
          <w:bCs/>
          <w:color w:val="auto"/>
          <w:sz w:val="24"/>
          <w:highlight w:val="none"/>
        </w:rPr>
        <w:t>七、其他补充事宜</w:t>
      </w:r>
      <w:bookmarkEnd w:id="23"/>
      <w:bookmarkEnd w:id="24"/>
    </w:p>
    <w:p w14:paraId="2ED1892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78683CA">
      <w:pPr>
        <w:widowControl/>
        <w:spacing w:line="360" w:lineRule="auto"/>
        <w:ind w:firstLine="480" w:firstLineChars="200"/>
        <w:jc w:val="left"/>
        <w:rPr>
          <w:rFonts w:hint="eastAsia" w:ascii="宋体" w:hAnsi="宋体" w:cs="宋体"/>
          <w:color w:val="auto"/>
          <w:sz w:val="24"/>
          <w:highlight w:val="none"/>
        </w:rPr>
      </w:pPr>
      <w:bookmarkStart w:id="25" w:name="_Toc28359085"/>
      <w:bookmarkStart w:id="26" w:name="_Toc35393627"/>
      <w:bookmarkStart w:id="27" w:name="_Toc28359008"/>
      <w:bookmarkStart w:id="28" w:name="_Toc35393796"/>
      <w:r>
        <w:rPr>
          <w:rFonts w:hint="eastAsia" w:ascii="宋体" w:hAnsi="宋体" w:cs="宋体"/>
          <w:color w:val="auto"/>
          <w:sz w:val="24"/>
          <w:highlight w:val="none"/>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p>
    <w:p w14:paraId="3E7ABD3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p>
    <w:p w14:paraId="05B8CE5B">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4.有关本次磋商的事项若存在变动或修改，敬请及时关注“江苏政府采购网”、“常州市政府采购网”发布的更正公告。</w:t>
      </w:r>
    </w:p>
    <w:p w14:paraId="1DD12C76">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5.本次磋商不收取磋商保证金。</w:t>
      </w:r>
    </w:p>
    <w:p w14:paraId="7CA3759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6.注意事项</w:t>
      </w:r>
    </w:p>
    <w:p w14:paraId="25E23F8D">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p>
    <w:p w14:paraId="73ACD212">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4803F22D">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5A6E8914">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9.如潜在供应商未按上述要求操作，将自行承担所产生的风险。</w:t>
      </w:r>
    </w:p>
    <w:p w14:paraId="5D8DB136">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10.关于常州市中小企业政府采购信用融资：</w:t>
      </w:r>
    </w:p>
    <w:p w14:paraId="1FD44281">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D081932">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11.关于深入开展常州市政府采购线上合同信用融资：</w:t>
      </w:r>
    </w:p>
    <w:p w14:paraId="2ABB4DD6">
      <w:pPr>
        <w:widowControl/>
        <w:spacing w:line="360" w:lineRule="auto"/>
        <w:ind w:firstLine="480" w:firstLineChars="200"/>
        <w:jc w:val="left"/>
        <w:rPr>
          <w:color w:val="auto"/>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6EA5C6D5">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八、对本项目提出询问，请按以下方式联系。</w:t>
      </w:r>
      <w:bookmarkEnd w:id="25"/>
      <w:bookmarkEnd w:id="26"/>
      <w:bookmarkEnd w:id="27"/>
      <w:bookmarkEnd w:id="28"/>
    </w:p>
    <w:p w14:paraId="68C9CD24">
      <w:pPr>
        <w:widowControl/>
        <w:spacing w:line="360" w:lineRule="auto"/>
        <w:ind w:firstLine="482" w:firstLineChars="200"/>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1.采购人信息</w:t>
      </w:r>
    </w:p>
    <w:p w14:paraId="20CFD059">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 xml:space="preserve">常州卫生高等职业技术学校 </w:t>
      </w:r>
    </w:p>
    <w:p w14:paraId="5F7899E2">
      <w:pPr>
        <w:widowControl/>
        <w:spacing w:line="360" w:lineRule="auto"/>
        <w:ind w:firstLine="480" w:firstLineChars="200"/>
        <w:jc w:val="left"/>
        <w:rPr>
          <w:rFonts w:hint="eastAsia" w:ascii="宋体" w:hAnsi="宋体" w:cs="宋体"/>
          <w:color w:val="auto"/>
          <w:sz w:val="24"/>
          <w:highlight w:val="none"/>
          <w:u w:val="single"/>
          <w:lang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 xml:space="preserve">江苏省常州市锦绣路18号 </w:t>
      </w:r>
    </w:p>
    <w:p w14:paraId="30B44BBE">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沈先生、0519-</w:t>
      </w:r>
      <w:r>
        <w:rPr>
          <w:rFonts w:hint="eastAsia" w:ascii="宋体" w:hAnsi="宋体" w:cs="宋体"/>
          <w:color w:val="auto"/>
          <w:sz w:val="24"/>
          <w:highlight w:val="none"/>
          <w:u w:val="single"/>
          <w:lang w:val="en-US" w:eastAsia="zh-CN" w:bidi="ar"/>
        </w:rPr>
        <w:t>85220569</w:t>
      </w:r>
      <w:r>
        <w:rPr>
          <w:rFonts w:hint="eastAsia" w:ascii="宋体" w:hAnsi="宋体" w:cs="宋体"/>
          <w:color w:val="auto"/>
          <w:sz w:val="24"/>
          <w:highlight w:val="none"/>
          <w:u w:val="single"/>
          <w:lang w:bidi="ar"/>
        </w:rPr>
        <w:t xml:space="preserve"> </w:t>
      </w:r>
    </w:p>
    <w:p w14:paraId="0FCA8D4C">
      <w:pPr>
        <w:widowControl/>
        <w:spacing w:line="360" w:lineRule="auto"/>
        <w:ind w:firstLine="482" w:firstLineChars="200"/>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689B44D8">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27AD0111">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330EA08D">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5331FD9D">
      <w:pPr>
        <w:widowControl/>
        <w:spacing w:line="360" w:lineRule="auto"/>
        <w:ind w:firstLine="482" w:firstLineChars="200"/>
        <w:jc w:val="left"/>
        <w:rPr>
          <w:rFonts w:hint="eastAsia"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3FDB594F">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bidi="ar"/>
        </w:rPr>
        <w:t xml:space="preserve">嵇玲 </w:t>
      </w:r>
    </w:p>
    <w:p w14:paraId="5CFE0D67">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0519-88818295（8000）</w:t>
      </w:r>
      <w:r>
        <w:rPr>
          <w:rFonts w:hint="eastAsia" w:ascii="宋体" w:hAnsi="宋体" w:cs="宋体"/>
          <w:color w:val="auto"/>
          <w:sz w:val="24"/>
          <w:highlight w:val="none"/>
          <w:u w:val="single"/>
          <w:lang w:bidi="ar"/>
        </w:rPr>
        <w:t xml:space="preserve"> </w:t>
      </w:r>
    </w:p>
    <w:p w14:paraId="1955233A">
      <w:pPr>
        <w:spacing w:line="360" w:lineRule="auto"/>
        <w:jc w:val="center"/>
        <w:outlineLvl w:val="0"/>
        <w:rPr>
          <w:rFonts w:hint="eastAsia" w:ascii="宋体" w:hAnsi="宋体" w:cs="宋体"/>
          <w:color w:val="auto"/>
          <w:sz w:val="24"/>
          <w:highlight w:val="none"/>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723536BE">
      <w:pPr>
        <w:spacing w:line="360" w:lineRule="auto"/>
        <w:jc w:val="center"/>
        <w:outlineLvl w:val="0"/>
        <w:rPr>
          <w:b/>
          <w:color w:val="auto"/>
          <w:sz w:val="36"/>
          <w:szCs w:val="36"/>
          <w:highlight w:val="none"/>
        </w:rPr>
      </w:pPr>
      <w:bookmarkStart w:id="29" w:name="_Toc127151777"/>
      <w:bookmarkStart w:id="30" w:name="_Toc353873938"/>
      <w:bookmarkStart w:id="31" w:name="_Toc264969275"/>
      <w:bookmarkStart w:id="32" w:name="_Toc6147"/>
      <w:bookmarkStart w:id="33" w:name="_Toc226965856"/>
      <w:bookmarkStart w:id="34" w:name="_Toc512937850"/>
      <w:bookmarkStart w:id="35" w:name="_Toc265228423"/>
      <w:bookmarkStart w:id="36" w:name="_Toc305158854"/>
      <w:bookmarkStart w:id="37" w:name="_Toc127161488"/>
      <w:bookmarkStart w:id="38" w:name="_Toc305158928"/>
      <w:bookmarkStart w:id="39" w:name="_Toc150774783"/>
      <w:bookmarkStart w:id="40" w:name="_Toc353825548"/>
      <w:bookmarkStart w:id="41" w:name="_Toc195842950"/>
      <w:r>
        <w:rPr>
          <w:b/>
          <w:color w:val="auto"/>
          <w:sz w:val="36"/>
          <w:szCs w:val="36"/>
          <w:highlight w:val="none"/>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7E820C95">
      <w:pPr>
        <w:snapToGrid w:val="0"/>
        <w:spacing w:line="360" w:lineRule="auto"/>
        <w:jc w:val="center"/>
        <w:rPr>
          <w:rFonts w:hint="eastAsia" w:ascii="宋体" w:hAnsi="宋体"/>
          <w:b/>
          <w:bCs/>
          <w:color w:val="auto"/>
          <w:sz w:val="28"/>
          <w:szCs w:val="28"/>
          <w:highlight w:val="none"/>
        </w:rPr>
      </w:pPr>
      <w:bookmarkStart w:id="42" w:name="_Toc127151720"/>
      <w:bookmarkStart w:id="43" w:name="_Toc164608788"/>
      <w:bookmarkStart w:id="44" w:name="_Toc149720812"/>
      <w:bookmarkStart w:id="45" w:name="_Toc150774724"/>
      <w:bookmarkStart w:id="46" w:name="_Toc164229360"/>
      <w:bookmarkStart w:id="47" w:name="_Toc226337215"/>
      <w:bookmarkStart w:id="48" w:name="_Toc151193761"/>
      <w:bookmarkStart w:id="49" w:name="_Toc150480757"/>
      <w:bookmarkStart w:id="50" w:name="_Toc226965792"/>
      <w:bookmarkStart w:id="51" w:name="_Toc127161433"/>
      <w:bookmarkStart w:id="52" w:name="_Toc150774619"/>
      <w:bookmarkStart w:id="53" w:name="_Toc164229214"/>
      <w:bookmarkStart w:id="54" w:name="_Toc520356144"/>
      <w:bookmarkStart w:id="55" w:name="_Toc151193617"/>
      <w:bookmarkStart w:id="56" w:name="_Toc226309763"/>
      <w:bookmarkStart w:id="57" w:name="_Toc127151519"/>
      <w:bookmarkStart w:id="58" w:name="_Toc142311021"/>
      <w:bookmarkStart w:id="59" w:name="_Toc195842884"/>
      <w:bookmarkStart w:id="60" w:name="_Toc164608633"/>
      <w:bookmarkStart w:id="61" w:name="_Toc151193689"/>
      <w:bookmarkStart w:id="62" w:name="_Toc164351613"/>
      <w:bookmarkStart w:id="63" w:name="_Toc150509270"/>
      <w:bookmarkStart w:id="64" w:name="_Toc226965709"/>
      <w:bookmarkStart w:id="65" w:name="_Toc151193907"/>
      <w:bookmarkStart w:id="66" w:name="_Toc151190146"/>
      <w:bookmarkStart w:id="67" w:name="_Toc151193833"/>
      <w:r>
        <w:rPr>
          <w:rFonts w:hint="eastAsia" w:ascii="宋体" w:hAnsi="宋体"/>
          <w:b/>
          <w:bCs/>
          <w:color w:val="auto"/>
          <w:sz w:val="28"/>
          <w:szCs w:val="28"/>
          <w:highlight w:val="none"/>
        </w:rPr>
        <w:t>供应商须知资料表</w:t>
      </w:r>
    </w:p>
    <w:p w14:paraId="5E29B02E">
      <w:pPr>
        <w:jc w:val="center"/>
        <w:rPr>
          <w:b/>
          <w:color w:val="auto"/>
          <w:sz w:val="28"/>
          <w:szCs w:val="28"/>
          <w:highlight w:val="none"/>
        </w:rPr>
      </w:pPr>
    </w:p>
    <w:p w14:paraId="0058BEE3">
      <w:pPr>
        <w:widowControl/>
        <w:spacing w:line="360" w:lineRule="auto"/>
        <w:ind w:firstLine="480" w:firstLineChars="200"/>
        <w:jc w:val="left"/>
        <w:rPr>
          <w:rFonts w:hint="eastAsia" w:ascii="宋体" w:hAnsi="宋体" w:cs="宋体"/>
          <w:color w:val="auto"/>
          <w:sz w:val="24"/>
          <w:highlight w:val="none"/>
          <w:lang w:val="zh-TW" w:bidi="ar"/>
        </w:rPr>
      </w:pPr>
      <w:r>
        <w:rPr>
          <w:rFonts w:hint="eastAsia" w:ascii="宋体" w:hAnsi="宋体" w:cs="宋体"/>
          <w:color w:val="auto"/>
          <w:sz w:val="24"/>
          <w:highlight w:val="none"/>
          <w:lang w:val="zh-TW" w:bidi="ar"/>
        </w:rPr>
        <w:t>本表是对供应商须知的具体补充和修改，如有矛盾，均以本资料表为准。标记“■”的选项意为适用于本项目，标记“□”的选项意为不适用于本项目。</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E34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79FCCB3">
            <w:pPr>
              <w:jc w:val="center"/>
              <w:rPr>
                <w:rFonts w:hint="eastAsia" w:ascii="宋体" w:hAnsi="宋体" w:cs="宋体"/>
                <w:b/>
                <w:bCs/>
                <w:color w:val="auto"/>
                <w:sz w:val="24"/>
                <w:highlight w:val="none"/>
              </w:rPr>
            </w:pPr>
            <w:r>
              <w:rPr>
                <w:rFonts w:hint="eastAsia" w:ascii="宋体" w:hAnsi="宋体" w:cs="宋体"/>
                <w:b/>
                <w:color w:val="auto"/>
                <w:sz w:val="24"/>
                <w:highlight w:val="none"/>
              </w:rPr>
              <w:t>条款号</w:t>
            </w:r>
          </w:p>
        </w:tc>
        <w:tc>
          <w:tcPr>
            <w:tcW w:w="1701" w:type="dxa"/>
            <w:vAlign w:val="center"/>
          </w:tcPr>
          <w:p w14:paraId="787CDEBE">
            <w:pPr>
              <w:jc w:val="center"/>
              <w:rPr>
                <w:rFonts w:hint="eastAsia" w:ascii="宋体" w:hAnsi="宋体" w:cs="宋体"/>
                <w:b/>
                <w:bCs/>
                <w:color w:val="auto"/>
                <w:sz w:val="24"/>
                <w:highlight w:val="none"/>
              </w:rPr>
            </w:pPr>
            <w:r>
              <w:rPr>
                <w:rFonts w:hint="eastAsia" w:ascii="宋体" w:hAnsi="宋体" w:cs="宋体"/>
                <w:b/>
                <w:bCs/>
                <w:color w:val="auto"/>
                <w:sz w:val="24"/>
                <w:highlight w:val="none"/>
              </w:rPr>
              <w:t>条目</w:t>
            </w:r>
          </w:p>
        </w:tc>
        <w:tc>
          <w:tcPr>
            <w:tcW w:w="7253" w:type="dxa"/>
            <w:vAlign w:val="center"/>
          </w:tcPr>
          <w:p w14:paraId="697A26F1">
            <w:pPr>
              <w:jc w:val="center"/>
              <w:rPr>
                <w:rFonts w:hint="eastAsia" w:ascii="宋体" w:hAnsi="宋体" w:cs="宋体"/>
                <w:b/>
                <w:bCs/>
                <w:color w:val="auto"/>
                <w:sz w:val="24"/>
                <w:highlight w:val="none"/>
              </w:rPr>
            </w:pPr>
            <w:r>
              <w:rPr>
                <w:rFonts w:hint="eastAsia" w:ascii="宋体" w:hAnsi="宋体" w:cs="宋体"/>
                <w:b/>
                <w:bCs/>
                <w:color w:val="auto"/>
                <w:sz w:val="24"/>
                <w:highlight w:val="none"/>
              </w:rPr>
              <w:t>内容</w:t>
            </w:r>
          </w:p>
        </w:tc>
      </w:tr>
      <w:tr w14:paraId="12D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653DE5">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2.2</w:t>
            </w:r>
          </w:p>
        </w:tc>
        <w:tc>
          <w:tcPr>
            <w:tcW w:w="1701" w:type="dxa"/>
            <w:vAlign w:val="center"/>
          </w:tcPr>
          <w:p w14:paraId="73044065">
            <w:pPr>
              <w:jc w:val="center"/>
              <w:rPr>
                <w:rFonts w:hint="eastAsia" w:ascii="宋体" w:hAnsi="宋体" w:cs="宋体"/>
                <w:color w:val="auto"/>
                <w:sz w:val="24"/>
                <w:highlight w:val="none"/>
              </w:rPr>
            </w:pPr>
            <w:r>
              <w:rPr>
                <w:rFonts w:hint="eastAsia" w:ascii="宋体" w:hAnsi="宋体" w:cs="宋体"/>
                <w:color w:val="auto"/>
                <w:sz w:val="24"/>
                <w:highlight w:val="none"/>
              </w:rPr>
              <w:t>项目属性</w:t>
            </w:r>
          </w:p>
        </w:tc>
        <w:tc>
          <w:tcPr>
            <w:tcW w:w="7253" w:type="dxa"/>
            <w:vAlign w:val="center"/>
          </w:tcPr>
          <w:p w14:paraId="05276A77">
            <w:pPr>
              <w:jc w:val="left"/>
              <w:rPr>
                <w:rFonts w:hint="eastAsia" w:ascii="宋体" w:hAnsi="宋体" w:cs="宋体"/>
                <w:color w:val="auto"/>
                <w:sz w:val="24"/>
                <w:highlight w:val="none"/>
              </w:rPr>
            </w:pPr>
            <w:r>
              <w:rPr>
                <w:rFonts w:hint="eastAsia" w:ascii="宋体" w:hAnsi="宋体" w:cs="宋体"/>
                <w:color w:val="auto"/>
                <w:sz w:val="24"/>
                <w:highlight w:val="none"/>
              </w:rPr>
              <w:t>项目属性：</w:t>
            </w:r>
          </w:p>
          <w:p w14:paraId="542C0FCD">
            <w:pPr>
              <w:jc w:val="left"/>
              <w:rPr>
                <w:rFonts w:hint="eastAsia" w:ascii="宋体" w:hAnsi="宋体" w:cs="宋体"/>
                <w:color w:val="auto"/>
                <w:sz w:val="24"/>
                <w:highlight w:val="none"/>
              </w:rPr>
            </w:pPr>
            <w:r>
              <w:rPr>
                <w:rFonts w:hint="eastAsia" w:ascii="宋体" w:hAnsi="宋体" w:cs="宋体"/>
                <w:color w:val="auto"/>
                <w:sz w:val="24"/>
                <w:highlight w:val="none"/>
              </w:rPr>
              <w:t>□服务</w:t>
            </w:r>
          </w:p>
          <w:p w14:paraId="39670AA2">
            <w:pPr>
              <w:jc w:val="left"/>
              <w:rPr>
                <w:rFonts w:hint="eastAsia" w:ascii="宋体" w:hAnsi="宋体" w:cs="宋体"/>
                <w:color w:val="auto"/>
                <w:sz w:val="24"/>
                <w:highlight w:val="none"/>
              </w:rPr>
            </w:pPr>
            <w:r>
              <w:rPr>
                <w:rFonts w:hint="eastAsia" w:ascii="宋体" w:hAnsi="宋体" w:cs="宋体"/>
                <w:color w:val="auto"/>
                <w:sz w:val="24"/>
                <w:highlight w:val="none"/>
              </w:rPr>
              <w:t>□货物</w:t>
            </w:r>
          </w:p>
          <w:p w14:paraId="410FB68D">
            <w:pPr>
              <w:jc w:val="left"/>
              <w:rPr>
                <w:rFonts w:hint="eastAsia" w:ascii="宋体" w:hAnsi="宋体" w:cs="宋体"/>
                <w:color w:val="auto"/>
                <w:sz w:val="24"/>
                <w:highlight w:val="none"/>
                <w:u w:val="single"/>
              </w:rPr>
            </w:pPr>
            <w:r>
              <w:rPr>
                <w:rFonts w:hint="eastAsia" w:ascii="宋体" w:hAnsi="宋体" w:cs="宋体"/>
                <w:color w:val="auto"/>
                <w:sz w:val="24"/>
                <w:highlight w:val="none"/>
              </w:rPr>
              <w:t>■工程</w:t>
            </w:r>
          </w:p>
        </w:tc>
      </w:tr>
      <w:tr w14:paraId="457C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C71148E">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3.1</w:t>
            </w:r>
          </w:p>
        </w:tc>
        <w:tc>
          <w:tcPr>
            <w:tcW w:w="1701" w:type="dxa"/>
            <w:vAlign w:val="center"/>
          </w:tcPr>
          <w:p w14:paraId="192E9036">
            <w:pPr>
              <w:jc w:val="center"/>
              <w:rPr>
                <w:rFonts w:hint="eastAsia" w:ascii="宋体" w:hAnsi="宋体" w:cs="宋体"/>
                <w:color w:val="auto"/>
                <w:sz w:val="24"/>
                <w:highlight w:val="none"/>
              </w:rPr>
            </w:pPr>
            <w:r>
              <w:rPr>
                <w:rFonts w:hint="eastAsia" w:ascii="宋体" w:hAnsi="宋体" w:cs="宋体"/>
                <w:color w:val="auto"/>
                <w:sz w:val="24"/>
                <w:highlight w:val="none"/>
              </w:rPr>
              <w:t>现场考察</w:t>
            </w:r>
          </w:p>
        </w:tc>
        <w:tc>
          <w:tcPr>
            <w:tcW w:w="7253" w:type="dxa"/>
            <w:vAlign w:val="center"/>
          </w:tcPr>
          <w:p w14:paraId="2A5F2E93">
            <w:pPr>
              <w:jc w:val="left"/>
              <w:rPr>
                <w:rFonts w:hint="eastAsia" w:ascii="宋体" w:hAnsi="宋体" w:cs="宋体"/>
                <w:color w:val="auto"/>
                <w:sz w:val="24"/>
                <w:highlight w:val="none"/>
              </w:rPr>
            </w:pPr>
            <w:r>
              <w:rPr>
                <w:rFonts w:hint="eastAsia" w:ascii="宋体" w:hAnsi="宋体" w:cs="宋体"/>
                <w:color w:val="auto"/>
                <w:sz w:val="24"/>
                <w:highlight w:val="none"/>
              </w:rPr>
              <w:t>■不组织</w:t>
            </w:r>
          </w:p>
          <w:p w14:paraId="208A97C5">
            <w:pPr>
              <w:jc w:val="left"/>
              <w:rPr>
                <w:rFonts w:hint="eastAsia"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7FED1649">
            <w:pPr>
              <w:pStyle w:val="8"/>
              <w:adjustRightInd w:val="0"/>
              <w:snapToGrid w:val="0"/>
              <w:rPr>
                <w:rFonts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042E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63AD13A">
            <w:pPr>
              <w:pStyle w:val="8"/>
              <w:adjustRightInd w:val="0"/>
              <w:snapToGrid w:val="0"/>
              <w:jc w:val="center"/>
              <w:rPr>
                <w:rFonts w:hAnsi="宋体" w:cs="宋体"/>
                <w:color w:val="auto"/>
                <w:sz w:val="24"/>
                <w:szCs w:val="24"/>
                <w:highlight w:val="none"/>
              </w:rPr>
            </w:pPr>
          </w:p>
        </w:tc>
        <w:tc>
          <w:tcPr>
            <w:tcW w:w="1701" w:type="dxa"/>
            <w:vAlign w:val="center"/>
          </w:tcPr>
          <w:p w14:paraId="79799DE5">
            <w:pPr>
              <w:jc w:val="center"/>
              <w:rPr>
                <w:rFonts w:hint="eastAsia" w:ascii="宋体" w:hAnsi="宋体" w:cs="宋体"/>
                <w:color w:val="auto"/>
                <w:sz w:val="24"/>
                <w:highlight w:val="none"/>
              </w:rPr>
            </w:pPr>
            <w:r>
              <w:rPr>
                <w:rFonts w:hint="eastAsia" w:ascii="宋体" w:hAnsi="宋体" w:cs="宋体"/>
                <w:color w:val="auto"/>
                <w:sz w:val="24"/>
                <w:highlight w:val="none"/>
              </w:rPr>
              <w:t>磋商前答疑会</w:t>
            </w:r>
          </w:p>
        </w:tc>
        <w:tc>
          <w:tcPr>
            <w:tcW w:w="7253" w:type="dxa"/>
            <w:vAlign w:val="center"/>
          </w:tcPr>
          <w:p w14:paraId="49AB55BF">
            <w:pPr>
              <w:jc w:val="left"/>
              <w:rPr>
                <w:rFonts w:hint="eastAsia" w:ascii="宋体" w:hAnsi="宋体" w:cs="宋体"/>
                <w:color w:val="auto"/>
                <w:sz w:val="24"/>
                <w:highlight w:val="none"/>
              </w:rPr>
            </w:pPr>
            <w:r>
              <w:rPr>
                <w:rFonts w:hint="eastAsia" w:ascii="宋体" w:hAnsi="宋体" w:cs="宋体"/>
                <w:color w:val="auto"/>
                <w:sz w:val="24"/>
                <w:highlight w:val="none"/>
              </w:rPr>
              <w:t>■不召开</w:t>
            </w:r>
          </w:p>
          <w:p w14:paraId="4D056E75">
            <w:pPr>
              <w:jc w:val="left"/>
              <w:rPr>
                <w:rFonts w:hint="eastAsia"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46B51D3">
            <w:pPr>
              <w:jc w:val="left"/>
              <w:rPr>
                <w:rFonts w:hint="eastAsia"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72AC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vAlign w:val="center"/>
          </w:tcPr>
          <w:p w14:paraId="160FE57C">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4.2.5</w:t>
            </w:r>
          </w:p>
        </w:tc>
        <w:tc>
          <w:tcPr>
            <w:tcW w:w="1701" w:type="dxa"/>
            <w:vAlign w:val="center"/>
          </w:tcPr>
          <w:p w14:paraId="7AE373AD">
            <w:pPr>
              <w:jc w:val="center"/>
              <w:rPr>
                <w:rFonts w:hint="eastAsia" w:ascii="宋体" w:hAnsi="宋体" w:cs="宋体"/>
                <w:color w:val="auto"/>
                <w:sz w:val="24"/>
                <w:highlight w:val="none"/>
              </w:rPr>
            </w:pPr>
            <w:r>
              <w:rPr>
                <w:rFonts w:hint="eastAsia" w:ascii="宋体" w:hAnsi="宋体" w:cs="宋体"/>
                <w:color w:val="auto"/>
                <w:sz w:val="24"/>
                <w:highlight w:val="none"/>
              </w:rPr>
              <w:t>标的所属行业</w:t>
            </w:r>
          </w:p>
        </w:tc>
        <w:tc>
          <w:tcPr>
            <w:tcW w:w="7253" w:type="dxa"/>
            <w:vAlign w:val="center"/>
          </w:tcPr>
          <w:p w14:paraId="02D9A571">
            <w:pPr>
              <w:jc w:val="left"/>
              <w:rPr>
                <w:rFonts w:hint="eastAsia"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color w:val="auto"/>
                <w:sz w:val="24"/>
                <w:highlight w:val="none"/>
                <w:u w:val="single"/>
              </w:rPr>
              <w:t xml:space="preserve"> 建筑业 </w:t>
            </w:r>
          </w:p>
        </w:tc>
      </w:tr>
      <w:tr w14:paraId="2C6E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3C0DB67">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10.2</w:t>
            </w:r>
          </w:p>
        </w:tc>
        <w:tc>
          <w:tcPr>
            <w:tcW w:w="1701" w:type="dxa"/>
            <w:vAlign w:val="center"/>
          </w:tcPr>
          <w:p w14:paraId="78ADE764">
            <w:pPr>
              <w:jc w:val="center"/>
              <w:rPr>
                <w:rFonts w:hint="eastAsia" w:ascii="宋体" w:hAnsi="宋体" w:cs="宋体"/>
                <w:color w:val="auto"/>
                <w:sz w:val="24"/>
                <w:highlight w:val="none"/>
              </w:rPr>
            </w:pPr>
            <w:r>
              <w:rPr>
                <w:rFonts w:hint="eastAsia" w:ascii="宋体" w:hAnsi="宋体" w:cs="宋体"/>
                <w:color w:val="auto"/>
                <w:sz w:val="24"/>
                <w:highlight w:val="none"/>
              </w:rPr>
              <w:t>报价</w:t>
            </w:r>
          </w:p>
        </w:tc>
        <w:tc>
          <w:tcPr>
            <w:tcW w:w="7253" w:type="dxa"/>
            <w:vAlign w:val="center"/>
          </w:tcPr>
          <w:p w14:paraId="4292D386">
            <w:pPr>
              <w:jc w:val="left"/>
              <w:rPr>
                <w:rFonts w:hint="eastAsia" w:ascii="宋体" w:hAnsi="宋体" w:cs="宋体"/>
                <w:color w:val="auto"/>
                <w:sz w:val="24"/>
                <w:highlight w:val="none"/>
              </w:rPr>
            </w:pPr>
            <w:r>
              <w:rPr>
                <w:rFonts w:hint="eastAsia" w:ascii="宋体" w:hAnsi="宋体" w:cs="宋体"/>
                <w:color w:val="auto"/>
                <w:sz w:val="24"/>
                <w:highlight w:val="none"/>
              </w:rPr>
              <w:t>报价的特殊规定：</w:t>
            </w:r>
          </w:p>
          <w:p w14:paraId="15C9A09C">
            <w:pPr>
              <w:jc w:val="left"/>
              <w:rPr>
                <w:rFonts w:hint="eastAsia" w:ascii="宋体" w:hAnsi="宋体" w:cs="宋体"/>
                <w:color w:val="auto"/>
                <w:sz w:val="24"/>
                <w:highlight w:val="none"/>
              </w:rPr>
            </w:pPr>
            <w:r>
              <w:rPr>
                <w:rFonts w:hint="eastAsia" w:ascii="宋体" w:hAnsi="宋体" w:cs="宋体"/>
                <w:color w:val="auto"/>
                <w:sz w:val="24"/>
                <w:highlight w:val="none"/>
              </w:rPr>
              <w:t>□无</w:t>
            </w:r>
          </w:p>
          <w:p w14:paraId="73234DD8">
            <w:pPr>
              <w:jc w:val="left"/>
              <w:rPr>
                <w:rFonts w:hint="eastAsia"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本项目采用至少二次报价，磋商响应文件报价一览表的报价作为首次报价，在磋商结束后，磋商小组应当要求所有实质性响应的供应商在规定时间内提交最后报价，最后报价作为评分依据 </w:t>
            </w:r>
            <w:r>
              <w:rPr>
                <w:rFonts w:hint="eastAsia" w:ascii="宋体" w:hAnsi="宋体" w:cs="宋体"/>
                <w:color w:val="auto"/>
                <w:sz w:val="24"/>
                <w:highlight w:val="none"/>
              </w:rPr>
              <w:t>。</w:t>
            </w:r>
          </w:p>
        </w:tc>
      </w:tr>
      <w:tr w14:paraId="6B63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0AA6D49">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11.1</w:t>
            </w:r>
          </w:p>
        </w:tc>
        <w:tc>
          <w:tcPr>
            <w:tcW w:w="1701" w:type="dxa"/>
            <w:vAlign w:val="center"/>
          </w:tcPr>
          <w:p w14:paraId="452F45C3">
            <w:pPr>
              <w:jc w:val="center"/>
              <w:rPr>
                <w:rFonts w:hint="eastAsia" w:ascii="宋体" w:hAnsi="宋体" w:cs="宋体"/>
                <w:color w:val="auto"/>
                <w:sz w:val="24"/>
                <w:highlight w:val="none"/>
              </w:rPr>
            </w:pPr>
            <w:r>
              <w:rPr>
                <w:rFonts w:hint="eastAsia" w:ascii="宋体" w:hAnsi="宋体" w:cs="宋体"/>
                <w:color w:val="auto"/>
                <w:sz w:val="24"/>
                <w:highlight w:val="none"/>
              </w:rPr>
              <w:t>磋商保证金</w:t>
            </w:r>
          </w:p>
        </w:tc>
        <w:tc>
          <w:tcPr>
            <w:tcW w:w="7253" w:type="dxa"/>
            <w:vAlign w:val="center"/>
          </w:tcPr>
          <w:p w14:paraId="4194252D">
            <w:pPr>
              <w:jc w:val="left"/>
              <w:rPr>
                <w:rFonts w:hint="eastAsia" w:ascii="宋体" w:hAnsi="宋体" w:cs="宋体"/>
                <w:color w:val="auto"/>
                <w:sz w:val="24"/>
                <w:highlight w:val="none"/>
              </w:rPr>
            </w:pPr>
            <w:r>
              <w:rPr>
                <w:rFonts w:hint="eastAsia" w:ascii="宋体" w:hAnsi="宋体" w:cs="宋体"/>
                <w:color w:val="auto"/>
                <w:sz w:val="24"/>
                <w:highlight w:val="none"/>
              </w:rPr>
              <w:t>免收</w:t>
            </w:r>
          </w:p>
        </w:tc>
      </w:tr>
      <w:tr w14:paraId="623C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988" w:type="dxa"/>
            <w:vAlign w:val="center"/>
          </w:tcPr>
          <w:p w14:paraId="53CE4C4E">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12.1</w:t>
            </w:r>
          </w:p>
        </w:tc>
        <w:tc>
          <w:tcPr>
            <w:tcW w:w="1701" w:type="dxa"/>
            <w:vAlign w:val="center"/>
          </w:tcPr>
          <w:p w14:paraId="2C522221">
            <w:pPr>
              <w:jc w:val="center"/>
              <w:rPr>
                <w:rFonts w:hint="eastAsia" w:ascii="宋体" w:hAnsi="宋体" w:cs="宋体"/>
                <w:color w:val="auto"/>
                <w:sz w:val="24"/>
                <w:highlight w:val="none"/>
              </w:rPr>
            </w:pPr>
            <w:r>
              <w:rPr>
                <w:rFonts w:hint="eastAsia" w:ascii="宋体" w:hAnsi="宋体" w:cs="宋体"/>
                <w:color w:val="auto"/>
                <w:sz w:val="24"/>
                <w:highlight w:val="none"/>
              </w:rPr>
              <w:t>响应有效期</w:t>
            </w:r>
          </w:p>
        </w:tc>
        <w:tc>
          <w:tcPr>
            <w:tcW w:w="7253" w:type="dxa"/>
            <w:vAlign w:val="center"/>
          </w:tcPr>
          <w:p w14:paraId="65F42500">
            <w:pPr>
              <w:jc w:val="left"/>
              <w:rPr>
                <w:rFonts w:hint="eastAsia" w:ascii="宋体" w:hAnsi="宋体" w:cs="宋体"/>
                <w:color w:val="auto"/>
                <w:sz w:val="24"/>
                <w:highlight w:val="none"/>
              </w:rPr>
            </w:pPr>
            <w:r>
              <w:rPr>
                <w:rFonts w:hint="eastAsia" w:ascii="宋体" w:hAnsi="宋体" w:cs="宋体"/>
                <w:color w:val="auto"/>
                <w:sz w:val="24"/>
                <w:highlight w:val="none"/>
              </w:rPr>
              <w:t>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46F2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993788">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23.5</w:t>
            </w:r>
          </w:p>
        </w:tc>
        <w:tc>
          <w:tcPr>
            <w:tcW w:w="1701" w:type="dxa"/>
            <w:vAlign w:val="center"/>
          </w:tcPr>
          <w:p w14:paraId="0AF42684">
            <w:pPr>
              <w:jc w:val="center"/>
              <w:rPr>
                <w:rFonts w:hint="eastAsia" w:ascii="宋体" w:hAnsi="宋体" w:cs="宋体"/>
                <w:color w:val="auto"/>
                <w:sz w:val="24"/>
                <w:highlight w:val="none"/>
              </w:rPr>
            </w:pPr>
            <w:r>
              <w:rPr>
                <w:rFonts w:hint="eastAsia" w:ascii="宋体" w:hAnsi="宋体" w:cs="宋体"/>
                <w:color w:val="auto"/>
                <w:sz w:val="24"/>
                <w:highlight w:val="none"/>
              </w:rPr>
              <w:t>分包</w:t>
            </w:r>
          </w:p>
        </w:tc>
        <w:tc>
          <w:tcPr>
            <w:tcW w:w="7253" w:type="dxa"/>
            <w:vAlign w:val="center"/>
          </w:tcPr>
          <w:p w14:paraId="53763BB7">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本项目是否允许分包： </w:t>
            </w:r>
          </w:p>
          <w:p w14:paraId="79DDCA4C">
            <w:pPr>
              <w:jc w:val="left"/>
              <w:rPr>
                <w:rFonts w:hint="eastAsia" w:ascii="宋体" w:hAnsi="宋体" w:cs="宋体"/>
                <w:color w:val="auto"/>
                <w:sz w:val="24"/>
                <w:highlight w:val="none"/>
              </w:rPr>
            </w:pPr>
            <w:r>
              <w:rPr>
                <w:rFonts w:hint="eastAsia" w:ascii="宋体" w:hAnsi="宋体" w:cs="宋体"/>
                <w:color w:val="auto"/>
                <w:sz w:val="24"/>
                <w:highlight w:val="none"/>
              </w:rPr>
              <w:t>■不允许</w:t>
            </w:r>
          </w:p>
          <w:p w14:paraId="4CA6B840">
            <w:pPr>
              <w:jc w:val="left"/>
              <w:rPr>
                <w:rFonts w:hint="eastAsia"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2F745CB">
            <w:pPr>
              <w:jc w:val="left"/>
              <w:rPr>
                <w:rFonts w:hint="eastAsia"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33D4EB8">
            <w:pPr>
              <w:jc w:val="left"/>
              <w:rPr>
                <w:rFonts w:hint="eastAsia"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201B7BE">
            <w:pPr>
              <w:jc w:val="left"/>
              <w:rPr>
                <w:rFonts w:hint="eastAsia" w:ascii="宋体" w:hAnsi="宋体" w:cs="宋体"/>
                <w:color w:val="auto"/>
                <w:sz w:val="24"/>
                <w:highlight w:val="none"/>
                <w:u w:val="singl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2B9B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D5A373D">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24.1.1</w:t>
            </w:r>
          </w:p>
        </w:tc>
        <w:tc>
          <w:tcPr>
            <w:tcW w:w="1701" w:type="dxa"/>
            <w:vAlign w:val="center"/>
          </w:tcPr>
          <w:p w14:paraId="3906036A">
            <w:pPr>
              <w:jc w:val="center"/>
              <w:rPr>
                <w:rFonts w:hint="eastAsia" w:ascii="宋体" w:hAnsi="宋体" w:cs="宋体"/>
                <w:color w:val="auto"/>
                <w:sz w:val="24"/>
                <w:highlight w:val="none"/>
              </w:rPr>
            </w:pPr>
            <w:r>
              <w:rPr>
                <w:rFonts w:hint="eastAsia" w:ascii="宋体" w:hAnsi="宋体" w:cs="宋体"/>
                <w:color w:val="auto"/>
                <w:sz w:val="24"/>
                <w:highlight w:val="none"/>
              </w:rPr>
              <w:t>询问</w:t>
            </w:r>
          </w:p>
        </w:tc>
        <w:tc>
          <w:tcPr>
            <w:tcW w:w="7253" w:type="dxa"/>
            <w:vAlign w:val="center"/>
          </w:tcPr>
          <w:p w14:paraId="36BDD4D9">
            <w:pPr>
              <w:jc w:val="left"/>
              <w:rPr>
                <w:rFonts w:hint="eastAsia"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于2026年7月</w:t>
            </w:r>
            <w:r>
              <w:rPr>
                <w:rFonts w:hint="eastAsia" w:ascii="宋体" w:hAnsi="宋体" w:cs="宋体"/>
                <w:color w:val="auto"/>
                <w:sz w:val="24"/>
                <w:highlight w:val="none"/>
                <w:u w:val="single"/>
                <w:lang w:val="en-US" w:eastAsia="zh-CN"/>
              </w:rPr>
              <w:t>20</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2DF2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CF7890">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24.3</w:t>
            </w:r>
          </w:p>
        </w:tc>
        <w:tc>
          <w:tcPr>
            <w:tcW w:w="1701" w:type="dxa"/>
            <w:vAlign w:val="center"/>
          </w:tcPr>
          <w:p w14:paraId="55512865">
            <w:pPr>
              <w:jc w:val="center"/>
              <w:rPr>
                <w:rFonts w:hint="eastAsia" w:ascii="宋体" w:hAnsi="宋体" w:cs="宋体"/>
                <w:color w:val="auto"/>
                <w:sz w:val="24"/>
                <w:highlight w:val="none"/>
              </w:rPr>
            </w:pPr>
            <w:r>
              <w:rPr>
                <w:rFonts w:hint="eastAsia" w:ascii="宋体" w:hAnsi="宋体" w:cs="宋体"/>
                <w:color w:val="auto"/>
                <w:sz w:val="24"/>
                <w:highlight w:val="none"/>
              </w:rPr>
              <w:t>联系方式</w:t>
            </w:r>
          </w:p>
        </w:tc>
        <w:tc>
          <w:tcPr>
            <w:tcW w:w="7253" w:type="dxa"/>
            <w:vAlign w:val="center"/>
          </w:tcPr>
          <w:p w14:paraId="25877CBD">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59C93487">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嵇玲  </w:t>
            </w:r>
            <w:r>
              <w:rPr>
                <w:rFonts w:hint="eastAsia" w:ascii="宋体" w:hAnsi="宋体" w:cs="宋体"/>
                <w:color w:val="auto"/>
                <w:sz w:val="24"/>
                <w:highlight w:val="none"/>
              </w:rPr>
              <w:t>；</w:t>
            </w:r>
          </w:p>
          <w:p w14:paraId="16F0FF07">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0519-88818295（8000）  </w:t>
            </w:r>
            <w:r>
              <w:rPr>
                <w:rFonts w:hint="eastAsia" w:ascii="宋体" w:hAnsi="宋体" w:cs="宋体"/>
                <w:color w:val="auto"/>
                <w:sz w:val="24"/>
                <w:highlight w:val="none"/>
              </w:rPr>
              <w:t>；</w:t>
            </w:r>
          </w:p>
          <w:p w14:paraId="36747D2B">
            <w:pPr>
              <w:jc w:val="left"/>
              <w:rPr>
                <w:rFonts w:hint="eastAsia"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常州市新北区嵩山路1-301号（太湖明珠苑综合市场3楼）  </w:t>
            </w:r>
            <w:r>
              <w:rPr>
                <w:rFonts w:hint="eastAsia" w:ascii="宋体" w:hAnsi="宋体" w:cs="宋体"/>
                <w:color w:val="auto"/>
                <w:sz w:val="24"/>
                <w:highlight w:val="none"/>
              </w:rPr>
              <w:t>。</w:t>
            </w:r>
          </w:p>
        </w:tc>
      </w:tr>
      <w:tr w14:paraId="6BD5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0A58A4">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25</w:t>
            </w:r>
          </w:p>
        </w:tc>
        <w:tc>
          <w:tcPr>
            <w:tcW w:w="1701" w:type="dxa"/>
            <w:vAlign w:val="center"/>
          </w:tcPr>
          <w:p w14:paraId="2BF76977">
            <w:pPr>
              <w:jc w:val="center"/>
              <w:rPr>
                <w:rFonts w:hint="eastAsia" w:ascii="宋体" w:hAnsi="宋体" w:cs="宋体"/>
                <w:color w:val="auto"/>
                <w:sz w:val="24"/>
                <w:highlight w:val="none"/>
              </w:rPr>
            </w:pPr>
            <w:r>
              <w:rPr>
                <w:rFonts w:hint="eastAsia" w:ascii="宋体" w:hAnsi="宋体" w:cs="宋体"/>
                <w:color w:val="auto"/>
                <w:sz w:val="24"/>
                <w:highlight w:val="none"/>
              </w:rPr>
              <w:t>代理费</w:t>
            </w:r>
          </w:p>
        </w:tc>
        <w:tc>
          <w:tcPr>
            <w:tcW w:w="7253" w:type="dxa"/>
            <w:vAlign w:val="center"/>
          </w:tcPr>
          <w:p w14:paraId="4D95C48F">
            <w:pPr>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05A282FC">
            <w:pPr>
              <w:jc w:val="left"/>
              <w:rPr>
                <w:rFonts w:hint="eastAsia" w:ascii="宋体" w:hAnsi="宋体" w:cs="宋体"/>
                <w:color w:val="auto"/>
                <w:sz w:val="24"/>
                <w:highlight w:val="none"/>
              </w:rPr>
            </w:pPr>
            <w:r>
              <w:rPr>
                <w:rFonts w:hint="eastAsia" w:ascii="宋体" w:hAnsi="宋体" w:cs="宋体"/>
                <w:color w:val="auto"/>
                <w:sz w:val="24"/>
                <w:highlight w:val="none"/>
              </w:rPr>
              <w:t>□采购人</w:t>
            </w:r>
          </w:p>
          <w:p w14:paraId="4687B9A4">
            <w:pPr>
              <w:jc w:val="left"/>
              <w:rPr>
                <w:rFonts w:hint="eastAsia" w:ascii="宋体" w:hAnsi="宋体" w:cs="宋体"/>
                <w:color w:val="auto"/>
                <w:sz w:val="24"/>
                <w:highlight w:val="none"/>
              </w:rPr>
            </w:pPr>
            <w:r>
              <w:rPr>
                <w:rFonts w:hint="eastAsia" w:ascii="宋体" w:hAnsi="宋体" w:cs="宋体"/>
                <w:color w:val="auto"/>
                <w:sz w:val="24"/>
                <w:highlight w:val="none"/>
              </w:rPr>
              <w:t>■成交供应商</w:t>
            </w:r>
          </w:p>
          <w:p w14:paraId="5FE995FA">
            <w:pPr>
              <w:jc w:val="left"/>
              <w:rPr>
                <w:rFonts w:hint="eastAsia" w:ascii="宋体" w:hAnsi="宋体" w:cs="宋体"/>
                <w:color w:val="auto"/>
                <w:sz w:val="24"/>
                <w:highlight w:val="non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收费比例按差额定率分档累进法计算，收费差额费率：成交金额在100万元(含)以下的为1.0%，成交金额在100万元（不含）至500万元（含）的为0.7%，成交金额在500万元（不含）至1000万元（含）的为0.55%，成交服务收费按上述计算方法的50%计算，不足人民币3000元的，按人民币3000元收取 </w:t>
            </w:r>
            <w:r>
              <w:rPr>
                <w:rFonts w:hint="eastAsia" w:ascii="宋体" w:hAnsi="宋体" w:cs="宋体"/>
                <w:color w:val="auto"/>
                <w:sz w:val="24"/>
                <w:highlight w:val="none"/>
              </w:rPr>
              <w:t>；</w:t>
            </w:r>
          </w:p>
          <w:p w14:paraId="1F2B8A03">
            <w:pPr>
              <w:jc w:val="left"/>
              <w:rPr>
                <w:rFonts w:hint="eastAsia"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成交供应商应在领取成交通知书时将成交服务费付至采购代理机构的账户并备注项目编号 </w:t>
            </w:r>
            <w:r>
              <w:rPr>
                <w:rFonts w:hint="eastAsia" w:ascii="宋体" w:hAnsi="宋体" w:cs="宋体"/>
                <w:color w:val="auto"/>
                <w:sz w:val="24"/>
                <w:highlight w:val="none"/>
              </w:rPr>
              <w:t>。</w:t>
            </w:r>
          </w:p>
          <w:p w14:paraId="645A6809">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7B55FE07">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2CFF4DCD">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595883AB">
            <w:pPr>
              <w:jc w:val="left"/>
              <w:rPr>
                <w:rFonts w:hint="eastAsia" w:ascii="宋体" w:hAnsi="宋体" w:cs="宋体"/>
                <w:color w:val="auto"/>
                <w:sz w:val="24"/>
                <w:highlight w:val="none"/>
              </w:rPr>
            </w:pPr>
            <w:r>
              <w:rPr>
                <w:rFonts w:hint="eastAsia" w:ascii="宋体" w:hAnsi="宋体" w:cs="宋体"/>
                <w:color w:val="auto"/>
                <w:sz w:val="24"/>
                <w:highlight w:val="none"/>
              </w:rPr>
              <w:t>代理服务费支付说明及原因：</w:t>
            </w:r>
          </w:p>
          <w:p w14:paraId="33C01AED">
            <w:pPr>
              <w:jc w:val="left"/>
              <w:rPr>
                <w:rFonts w:hint="eastAsia" w:ascii="宋体" w:hAnsi="宋体" w:cs="宋体"/>
                <w:color w:val="auto"/>
                <w:sz w:val="24"/>
                <w:highlight w:val="none"/>
              </w:rPr>
            </w:pPr>
            <w:r>
              <w:rPr>
                <w:rFonts w:hint="eastAsia" w:ascii="宋体" w:hAnsi="宋体" w:cs="宋体"/>
                <w:color w:val="auto"/>
                <w:sz w:val="24"/>
                <w:highlight w:val="none"/>
              </w:rPr>
              <w:t>1.支付依据：根据《政府采购代理机构管理暂行办法》第十五条规定，代理费用可以由中标、成交供应商支付。本项目经采购人与采购代理机构在《委托代理协议》中约定，代理服务费由中标/成交供应商支付。 2.定价原则：本项目代理服务费遵循市场调节原则，由采购人与代理机构根据项目特点、服务成本及市场行情协商确定收费标准。 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p>
        </w:tc>
      </w:tr>
      <w:tr w14:paraId="0798F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467F7C">
            <w:pPr>
              <w:pStyle w:val="8"/>
              <w:adjustRightInd w:val="0"/>
              <w:snapToGrid w:val="0"/>
              <w:jc w:val="center"/>
              <w:rPr>
                <w:rFonts w:hAnsi="宋体" w:cs="宋体"/>
                <w:color w:val="auto"/>
                <w:sz w:val="24"/>
                <w:szCs w:val="24"/>
                <w:highlight w:val="none"/>
              </w:rPr>
            </w:pPr>
            <w:r>
              <w:rPr>
                <w:rFonts w:hAnsi="宋体" w:cs="宋体"/>
                <w:color w:val="auto"/>
                <w:sz w:val="24"/>
                <w:szCs w:val="24"/>
                <w:highlight w:val="none"/>
              </w:rPr>
              <w:t>26</w:t>
            </w:r>
          </w:p>
        </w:tc>
        <w:tc>
          <w:tcPr>
            <w:tcW w:w="1701" w:type="dxa"/>
            <w:vAlign w:val="center"/>
          </w:tcPr>
          <w:p w14:paraId="1F956B86">
            <w:pPr>
              <w:jc w:val="center"/>
              <w:rPr>
                <w:rFonts w:hint="eastAsia" w:ascii="宋体" w:hAnsi="宋体" w:cs="宋体"/>
                <w:color w:val="auto"/>
                <w:sz w:val="24"/>
                <w:highlight w:val="none"/>
              </w:rPr>
            </w:pPr>
            <w:r>
              <w:rPr>
                <w:rFonts w:hint="eastAsia" w:ascii="宋体" w:hAnsi="宋体" w:cs="宋体"/>
                <w:color w:val="auto"/>
                <w:sz w:val="24"/>
                <w:highlight w:val="none"/>
              </w:rPr>
              <w:t>电子系统意外情况处理条款</w:t>
            </w:r>
          </w:p>
        </w:tc>
        <w:tc>
          <w:tcPr>
            <w:tcW w:w="7253" w:type="dxa"/>
            <w:vAlign w:val="center"/>
          </w:tcPr>
          <w:p w14:paraId="424AC55A">
            <w:pPr>
              <w:jc w:val="left"/>
              <w:rPr>
                <w:rFonts w:hint="eastAsia" w:ascii="宋体" w:hAnsi="宋体" w:cs="宋体"/>
                <w:color w:val="auto"/>
                <w:sz w:val="24"/>
                <w:highlight w:val="none"/>
              </w:rPr>
            </w:pPr>
            <w:r>
              <w:rPr>
                <w:rFonts w:hint="eastAsia" w:ascii="宋体" w:hAnsi="宋体" w:cs="宋体"/>
                <w:color w:val="auto"/>
                <w:sz w:val="24"/>
                <w:highlight w:val="none"/>
              </w:rPr>
              <w:t>为确保本项目电子化采购活动顺利进行，防范化解采购风险，特制定相关情形处置举措。所有潜在供应商及参与各方均应知悉并遵守以下规定：</w:t>
            </w:r>
          </w:p>
          <w:p w14:paraId="4981E716">
            <w:pPr>
              <w:jc w:val="left"/>
              <w:rPr>
                <w:rFonts w:hint="eastAsia" w:ascii="宋体" w:hAnsi="宋体" w:cs="宋体"/>
                <w:color w:val="auto"/>
                <w:sz w:val="24"/>
                <w:highlight w:val="none"/>
              </w:rPr>
            </w:pPr>
            <w:r>
              <w:rPr>
                <w:rFonts w:hint="eastAsia" w:ascii="宋体" w:hAnsi="宋体" w:cs="宋体"/>
                <w:color w:val="auto"/>
                <w:sz w:val="24"/>
                <w:highlight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78B0538">
            <w:pPr>
              <w:jc w:val="left"/>
              <w:rPr>
                <w:rFonts w:hint="eastAsia" w:ascii="宋体" w:hAnsi="宋体" w:cs="宋体"/>
                <w:color w:val="auto"/>
                <w:sz w:val="24"/>
                <w:highlight w:val="none"/>
              </w:rPr>
            </w:pPr>
            <w:r>
              <w:rPr>
                <w:rFonts w:hint="eastAsia" w:ascii="宋体" w:hAnsi="宋体" w:cs="宋体"/>
                <w:color w:val="auto"/>
                <w:sz w:val="24"/>
                <w:highlight w:val="none"/>
              </w:rPr>
              <w:t>2.开标前环节故障处置：在供应商报名、响应文件上传、响应文件解密及唱标环节等开标活动开始前的任何环节出现系统无法访问的情形，采购代理机构将按照以下原则处置：</w:t>
            </w:r>
          </w:p>
          <w:p w14:paraId="4B540119">
            <w:pPr>
              <w:jc w:val="left"/>
              <w:rPr>
                <w:rFonts w:hint="eastAsia" w:ascii="宋体" w:hAnsi="宋体" w:cs="宋体"/>
                <w:color w:val="auto"/>
                <w:sz w:val="24"/>
                <w:highlight w:val="none"/>
              </w:rPr>
            </w:pPr>
            <w:r>
              <w:rPr>
                <w:rFonts w:hint="eastAsia" w:ascii="宋体" w:hAnsi="宋体" w:cs="宋体"/>
                <w:color w:val="auto"/>
                <w:sz w:val="24"/>
                <w:highlight w:val="none"/>
              </w:rPr>
              <w:t>（一）若故障可在短时间内排除，采购代理机构将等待系统修复后，继续开展采购活动。</w:t>
            </w:r>
          </w:p>
          <w:p w14:paraId="70BAE80F">
            <w:pPr>
              <w:jc w:val="left"/>
              <w:rPr>
                <w:rFonts w:hint="eastAsia" w:ascii="宋体" w:hAnsi="宋体" w:cs="宋体"/>
                <w:color w:val="auto"/>
                <w:sz w:val="24"/>
                <w:highlight w:val="none"/>
              </w:rPr>
            </w:pPr>
            <w:r>
              <w:rPr>
                <w:rFonts w:hint="eastAsia" w:ascii="宋体" w:hAnsi="宋体" w:cs="宋体"/>
                <w:color w:val="auto"/>
                <w:sz w:val="24"/>
                <w:highlight w:val="none"/>
              </w:rPr>
              <w:t>（二）若故障无法在预定开标时间前排除，或故障情况严重影响公平竞争，采购代理机构将通过发布更正公告推迟开标。</w:t>
            </w:r>
          </w:p>
          <w:p w14:paraId="4D656855">
            <w:pPr>
              <w:jc w:val="left"/>
              <w:rPr>
                <w:rFonts w:hint="eastAsia" w:ascii="宋体" w:hAnsi="宋体" w:cs="宋体"/>
                <w:color w:val="auto"/>
                <w:sz w:val="24"/>
                <w:highlight w:val="none"/>
              </w:rPr>
            </w:pPr>
            <w:r>
              <w:rPr>
                <w:rFonts w:hint="eastAsia" w:ascii="宋体" w:hAnsi="宋体" w:cs="宋体"/>
                <w:color w:val="auto"/>
                <w:sz w:val="24"/>
                <w:highlight w:val="none"/>
              </w:rPr>
              <w:t>（三）若因故障导致有效投标人不足法定家数或出现其他法定废标情形，采购代理机构将发布废标（终止）公告，重新开展采购活动。</w:t>
            </w:r>
          </w:p>
          <w:p w14:paraId="46605979">
            <w:pPr>
              <w:jc w:val="left"/>
              <w:rPr>
                <w:rFonts w:hint="eastAsia" w:ascii="宋体" w:hAnsi="宋体" w:cs="宋体"/>
                <w:color w:val="auto"/>
                <w:sz w:val="24"/>
                <w:highlight w:val="none"/>
              </w:rPr>
            </w:pPr>
            <w:r>
              <w:rPr>
                <w:rFonts w:hint="eastAsia" w:ascii="宋体" w:hAnsi="宋体" w:cs="宋体"/>
                <w:color w:val="auto"/>
                <w:sz w:val="24"/>
                <w:highlight w:val="none"/>
              </w:rPr>
              <w:t>特别说明：本项目响应文件递交方式以招标文件载明为准。在电子系统发生故障时，采购代理机构仅依据上述程序处理，不接受任何现场提交的纸质、U盘等非招标文件规定的响应文件。</w:t>
            </w:r>
          </w:p>
          <w:p w14:paraId="79555391">
            <w:pPr>
              <w:jc w:val="left"/>
              <w:rPr>
                <w:rFonts w:hint="eastAsia" w:ascii="宋体" w:hAnsi="宋体" w:cs="宋体"/>
                <w:color w:val="auto"/>
                <w:sz w:val="24"/>
                <w:highlight w:val="none"/>
              </w:rPr>
            </w:pPr>
            <w:r>
              <w:rPr>
                <w:rFonts w:hint="eastAsia" w:ascii="宋体" w:hAnsi="宋体" w:cs="宋体"/>
                <w:color w:val="auto"/>
                <w:sz w:val="24"/>
                <w:highlight w:val="none"/>
              </w:rPr>
              <w:t>3.评审过程中故障处置：在评审委员会组建后至评审报告出具前的评审过程中出现系统无法访问的情形，采购代理机构将按照以下原则处置：</w:t>
            </w:r>
          </w:p>
          <w:p w14:paraId="5973CEFF">
            <w:pPr>
              <w:jc w:val="left"/>
              <w:rPr>
                <w:rFonts w:hint="eastAsia" w:ascii="宋体" w:hAnsi="宋体" w:cs="宋体"/>
                <w:color w:val="auto"/>
                <w:sz w:val="24"/>
                <w:highlight w:val="none"/>
              </w:rPr>
            </w:pPr>
            <w:r>
              <w:rPr>
                <w:rFonts w:hint="eastAsia" w:ascii="宋体" w:hAnsi="宋体" w:cs="宋体"/>
                <w:color w:val="auto"/>
                <w:sz w:val="24"/>
                <w:highlight w:val="none"/>
              </w:rPr>
              <w:t>（一）立即暂停评审：采购代理机构将立即宣布暂停评审活动，并采取必要措施封存所有响应文件及评审记录。</w:t>
            </w:r>
          </w:p>
          <w:p w14:paraId="4AD8E713">
            <w:pPr>
              <w:jc w:val="left"/>
              <w:rPr>
                <w:rFonts w:hint="eastAsia" w:ascii="宋体" w:hAnsi="宋体" w:cs="宋体"/>
                <w:color w:val="auto"/>
                <w:sz w:val="24"/>
                <w:highlight w:val="none"/>
              </w:rPr>
            </w:pPr>
            <w:r>
              <w:rPr>
                <w:rFonts w:hint="eastAsia" w:ascii="宋体" w:hAnsi="宋体" w:cs="宋体"/>
                <w:color w:val="auto"/>
                <w:sz w:val="24"/>
                <w:highlight w:val="none"/>
              </w:rPr>
              <w:t>（二）处置方案：视故障排除情况，采购代理机构将选择：</w:t>
            </w:r>
          </w:p>
          <w:p w14:paraId="7E25A6F4">
            <w:pPr>
              <w:jc w:val="left"/>
              <w:rPr>
                <w:rFonts w:hint="eastAsia" w:ascii="宋体" w:hAnsi="宋体" w:cs="宋体"/>
                <w:color w:val="auto"/>
                <w:sz w:val="24"/>
                <w:highlight w:val="none"/>
              </w:rPr>
            </w:pPr>
            <w:r>
              <w:rPr>
                <w:rFonts w:hint="eastAsia" w:ascii="宋体" w:hAnsi="宋体" w:cs="宋体"/>
                <w:color w:val="auto"/>
                <w:sz w:val="24"/>
                <w:highlight w:val="none"/>
              </w:rPr>
              <w:t>1.若故障可在短时间内排除，采购代理机构将等待系统修复后，由原评审委员会继续完成评审；</w:t>
            </w:r>
          </w:p>
          <w:p w14:paraId="0582E3CB">
            <w:pPr>
              <w:jc w:val="left"/>
              <w:rPr>
                <w:rFonts w:hint="eastAsia" w:ascii="宋体" w:hAnsi="宋体" w:cs="宋体"/>
                <w:color w:val="auto"/>
                <w:sz w:val="24"/>
                <w:highlight w:val="none"/>
              </w:rPr>
            </w:pPr>
            <w:r>
              <w:rPr>
                <w:rFonts w:hint="eastAsia" w:ascii="宋体" w:hAnsi="宋体" w:cs="宋体"/>
                <w:color w:val="auto"/>
                <w:sz w:val="24"/>
                <w:highlight w:val="none"/>
              </w:rPr>
              <w:t>2.若故障无法在当日排除，或故障导致评审无法公正进行，将发布废标（终止）公告，重新开展采购活动；</w:t>
            </w:r>
          </w:p>
          <w:p w14:paraId="09698DAF">
            <w:pPr>
              <w:jc w:val="left"/>
              <w:rPr>
                <w:rFonts w:hint="eastAsia" w:ascii="宋体" w:hAnsi="宋体" w:cs="宋体"/>
                <w:color w:val="auto"/>
                <w:sz w:val="24"/>
                <w:highlight w:val="none"/>
              </w:rPr>
            </w:pPr>
            <w:r>
              <w:rPr>
                <w:rFonts w:hint="eastAsia" w:ascii="宋体" w:hAnsi="宋体" w:cs="宋体"/>
                <w:color w:val="auto"/>
                <w:sz w:val="24"/>
                <w:highlight w:val="none"/>
              </w:rPr>
              <w:t>3.若需在第二日继续评审，采购代理机构将重新从政府采购评审专家库中抽取专家，组建新的评审委员会，在系统修复后继续评审活动。</w:t>
            </w:r>
          </w:p>
          <w:p w14:paraId="316D2920">
            <w:pPr>
              <w:jc w:val="left"/>
              <w:rPr>
                <w:rFonts w:hint="eastAsia" w:ascii="宋体" w:hAnsi="宋体" w:cs="宋体"/>
                <w:color w:val="auto"/>
                <w:sz w:val="24"/>
                <w:highlight w:val="none"/>
              </w:rPr>
            </w:pPr>
            <w:r>
              <w:rPr>
                <w:rFonts w:hint="eastAsia" w:ascii="宋体" w:hAnsi="宋体" w:cs="宋体"/>
                <w:color w:val="auto"/>
                <w:sz w:val="24"/>
                <w:highlight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43CF6D18">
            <w:pPr>
              <w:jc w:val="left"/>
              <w:rPr>
                <w:rFonts w:hint="eastAsia" w:ascii="宋体" w:hAnsi="宋体" w:cs="宋体"/>
                <w:color w:val="auto"/>
                <w:sz w:val="24"/>
                <w:highlight w:val="none"/>
                <w:u w:val="single"/>
              </w:rPr>
            </w:pPr>
            <w:r>
              <w:rPr>
                <w:rFonts w:hint="eastAsia" w:ascii="宋体" w:hAnsi="宋体" w:cs="宋体"/>
                <w:color w:val="auto"/>
                <w:sz w:val="24"/>
                <w:highlight w:val="none"/>
              </w:rPr>
              <w:t>（四）供应商责任：供应商有责任确保自身网络环境、设备及数字证书（CA）的正常，并在招标文件规定的期限内完成文件上传、解密等操作。因供应商自身原因导致的操作失败，不适用本意外情况处理条款</w:t>
            </w:r>
          </w:p>
        </w:tc>
      </w:tr>
    </w:tbl>
    <w:p w14:paraId="12F8FA2C">
      <w:pPr>
        <w:snapToGrid w:val="0"/>
        <w:spacing w:line="360" w:lineRule="auto"/>
        <w:jc w:val="center"/>
        <w:rPr>
          <w:rFonts w:hint="eastAsia" w:ascii="宋体" w:hAnsi="宋体" w:cs="宋体"/>
          <w:color w:val="auto"/>
          <w:sz w:val="24"/>
          <w:highlight w:val="none"/>
        </w:rPr>
        <w:sectPr>
          <w:footerReference r:id="rId10" w:type="even"/>
          <w:pgSz w:w="11907" w:h="16840"/>
          <w:pgMar w:top="1440" w:right="1304" w:bottom="1440" w:left="1304" w:header="851" w:footer="851" w:gutter="0"/>
          <w:cols w:space="720" w:num="1"/>
          <w:docGrid w:linePitch="462" w:charSpace="0"/>
        </w:sectPr>
      </w:pPr>
      <w:r>
        <w:rPr>
          <w:rFonts w:hint="eastAsia" w:ascii="宋体" w:hAnsi="宋体" w:cs="宋体"/>
          <w:color w:val="auto"/>
          <w:sz w:val="24"/>
          <w:highlight w:val="none"/>
        </w:rPr>
        <w:t xml:space="preserve"> </w:t>
      </w:r>
    </w:p>
    <w:p w14:paraId="74A21870">
      <w:pPr>
        <w:snapToGrid w:val="0"/>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供应商须知</w:t>
      </w:r>
    </w:p>
    <w:p w14:paraId="09907235">
      <w:pPr>
        <w:snapToGrid w:val="0"/>
        <w:spacing w:line="360" w:lineRule="auto"/>
        <w:jc w:val="center"/>
        <w:rPr>
          <w:rFonts w:hint="eastAsia" w:ascii="宋体" w:hAnsi="宋体"/>
          <w:b/>
          <w:bCs/>
          <w:color w:val="auto"/>
          <w:sz w:val="28"/>
          <w:szCs w:val="28"/>
          <w:highlight w:val="none"/>
        </w:rPr>
      </w:pPr>
      <w:bookmarkStart w:id="68" w:name="_Toc150774723"/>
      <w:bookmarkStart w:id="69" w:name="_Toc520356143"/>
      <w:bookmarkStart w:id="70" w:name="_Toc151193832"/>
      <w:bookmarkStart w:id="71" w:name="_Toc150509269"/>
      <w:bookmarkStart w:id="72" w:name="_Toc305158860"/>
      <w:bookmarkStart w:id="73" w:name="_Toc151190145"/>
      <w:bookmarkStart w:id="74" w:name="_Toc142311020"/>
      <w:bookmarkStart w:id="75" w:name="_Toc226965791"/>
      <w:bookmarkStart w:id="76" w:name="_Toc151193616"/>
      <w:bookmarkStart w:id="77" w:name="_Toc151193906"/>
      <w:bookmarkStart w:id="78" w:name="_Toc150480756"/>
      <w:bookmarkStart w:id="79" w:name="_Toc264969208"/>
      <w:bookmarkStart w:id="80" w:name="_Toc150774618"/>
      <w:bookmarkStart w:id="81" w:name="_Toc127151518"/>
      <w:bookmarkStart w:id="82" w:name="_Toc226965708"/>
      <w:bookmarkStart w:id="83" w:name="_Toc195842883"/>
      <w:bookmarkStart w:id="84" w:name="_Toc226309762"/>
      <w:bookmarkStart w:id="85" w:name="_Toc226337214"/>
      <w:bookmarkStart w:id="86" w:name="_Toc265228356"/>
      <w:bookmarkStart w:id="87" w:name="_Toc151193760"/>
      <w:bookmarkStart w:id="88" w:name="_Toc305158786"/>
      <w:bookmarkStart w:id="89" w:name="_Toc151193688"/>
      <w:r>
        <w:rPr>
          <w:rFonts w:hint="eastAsia" w:ascii="宋体" w:hAnsi="宋体"/>
          <w:b/>
          <w:bCs/>
          <w:color w:val="auto"/>
          <w:sz w:val="28"/>
          <w:szCs w:val="28"/>
          <w:highlight w:val="none"/>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057A15ED">
      <w:pPr>
        <w:numPr>
          <w:ilvl w:val="0"/>
          <w:numId w:val="1"/>
        </w:numPr>
        <w:tabs>
          <w:tab w:val="left" w:pos="360"/>
          <w:tab w:val="clear" w:pos="900"/>
        </w:tabs>
        <w:snapToGrid w:val="0"/>
        <w:spacing w:line="360" w:lineRule="auto"/>
        <w:ind w:left="357" w:hanging="357"/>
        <w:outlineLvl w:val="1"/>
        <w:rPr>
          <w:rFonts w:hint="eastAsia" w:ascii="宋体" w:hAnsi="宋体" w:cs="宋体"/>
          <w:color w:val="auto"/>
          <w:sz w:val="24"/>
          <w:highlight w:val="none"/>
        </w:rPr>
      </w:pPr>
      <w:bookmarkStart w:id="90" w:name="_Toc305158861"/>
      <w:bookmarkStart w:id="91" w:name="_Toc305158787"/>
      <w:bookmarkStart w:id="92" w:name="_Toc265228357"/>
      <w:bookmarkStart w:id="93" w:name="_Toc264969209"/>
      <w:r>
        <w:rPr>
          <w:rFonts w:hint="eastAsia" w:ascii="宋体" w:hAnsi="宋体" w:cs="宋体"/>
          <w:color w:val="auto"/>
          <w:sz w:val="24"/>
          <w:highlight w:val="none"/>
        </w:rPr>
        <w:t>采购人、采购代理机构、供应商</w:t>
      </w:r>
      <w:bookmarkEnd w:id="90"/>
      <w:bookmarkEnd w:id="91"/>
      <w:bookmarkEnd w:id="92"/>
      <w:bookmarkEnd w:id="93"/>
      <w:r>
        <w:rPr>
          <w:rFonts w:hint="eastAsia" w:ascii="宋体" w:hAnsi="宋体" w:cs="宋体"/>
          <w:color w:val="auto"/>
          <w:sz w:val="24"/>
          <w:highlight w:val="none"/>
        </w:rPr>
        <w:t>、联合体</w:t>
      </w:r>
    </w:p>
    <w:p w14:paraId="37A7E131">
      <w:pPr>
        <w:numPr>
          <w:ilvl w:val="1"/>
          <w:numId w:val="1"/>
        </w:numPr>
        <w:tabs>
          <w:tab w:val="left" w:pos="1080"/>
          <w:tab w:val="left" w:pos="2014"/>
          <w:tab w:val="left" w:pos="5521"/>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采购人、采购代理机构：指依法进行政府采购的国家机关、事业单位、团体组织，及其委托的采购代理机构。本项目采购人、采购代理机构见第一章《采购邀请》。</w:t>
      </w:r>
    </w:p>
    <w:p w14:paraId="3E76E234">
      <w:pPr>
        <w:numPr>
          <w:ilvl w:val="1"/>
          <w:numId w:val="1"/>
        </w:numPr>
        <w:tabs>
          <w:tab w:val="left" w:pos="1080"/>
          <w:tab w:val="left" w:pos="2014"/>
          <w:tab w:val="left" w:pos="5521"/>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供应商（也称“申请人”）：指向采购人提供货物、工程或者服务的法人、其他组织或者自然人。</w:t>
      </w:r>
    </w:p>
    <w:p w14:paraId="71D0B0B7">
      <w:pPr>
        <w:numPr>
          <w:ilvl w:val="1"/>
          <w:numId w:val="1"/>
        </w:numPr>
        <w:tabs>
          <w:tab w:val="left" w:pos="1080"/>
          <w:tab w:val="left" w:pos="2014"/>
          <w:tab w:val="left" w:pos="5521"/>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1855C9">
      <w:pPr>
        <w:numPr>
          <w:ilvl w:val="0"/>
          <w:numId w:val="1"/>
        </w:numPr>
        <w:tabs>
          <w:tab w:val="left" w:pos="360"/>
          <w:tab w:val="clear" w:pos="900"/>
        </w:tabs>
        <w:snapToGrid w:val="0"/>
        <w:spacing w:line="360" w:lineRule="auto"/>
        <w:ind w:left="357" w:hanging="357"/>
        <w:outlineLvl w:val="1"/>
        <w:rPr>
          <w:rFonts w:hint="eastAsia" w:ascii="宋体" w:hAnsi="宋体" w:cs="宋体"/>
          <w:color w:val="auto"/>
          <w:sz w:val="24"/>
          <w:highlight w:val="none"/>
        </w:rPr>
      </w:pPr>
      <w:bookmarkStart w:id="94" w:name="_Toc150509271"/>
      <w:bookmarkStart w:id="95" w:name="_Toc226309764"/>
      <w:bookmarkStart w:id="96" w:name="_Toc150480758"/>
      <w:bookmarkStart w:id="97" w:name="_Toc150774725"/>
      <w:bookmarkStart w:id="98" w:name="_Toc226965710"/>
      <w:bookmarkStart w:id="99" w:name="_Toc149720813"/>
      <w:bookmarkStart w:id="100" w:name="_Toc265228358"/>
      <w:bookmarkStart w:id="101" w:name="_Toc164608789"/>
      <w:bookmarkStart w:id="102" w:name="_Toc151193834"/>
      <w:bookmarkStart w:id="103" w:name="_Toc151193690"/>
      <w:bookmarkStart w:id="104" w:name="_Toc226965793"/>
      <w:bookmarkStart w:id="105" w:name="_Toc142311022"/>
      <w:bookmarkStart w:id="106" w:name="_Toc164351614"/>
      <w:bookmarkStart w:id="107" w:name="_Toc305158862"/>
      <w:bookmarkStart w:id="108" w:name="_Toc164229361"/>
      <w:bookmarkStart w:id="109" w:name="_Toc127151520"/>
      <w:bookmarkStart w:id="110" w:name="_Toc264969210"/>
      <w:bookmarkStart w:id="111" w:name="_Toc151190147"/>
      <w:bookmarkStart w:id="112" w:name="_Toc151193618"/>
      <w:bookmarkStart w:id="113" w:name="_Toc305158788"/>
      <w:bookmarkStart w:id="114" w:name="_Toc164229215"/>
      <w:bookmarkStart w:id="115" w:name="_Toc195842885"/>
      <w:bookmarkStart w:id="116" w:name="_Toc150774620"/>
      <w:bookmarkStart w:id="117" w:name="_Toc164608634"/>
      <w:bookmarkStart w:id="118" w:name="_Toc151193762"/>
      <w:bookmarkStart w:id="119" w:name="_Toc127151721"/>
      <w:bookmarkStart w:id="120" w:name="_Toc226337216"/>
      <w:bookmarkStart w:id="121" w:name="_Toc127161434"/>
      <w:bookmarkStart w:id="122" w:name="_Toc151193908"/>
      <w:r>
        <w:rPr>
          <w:rFonts w:hint="eastAsia" w:ascii="宋体" w:hAnsi="宋体" w:cs="宋体"/>
          <w:color w:val="auto"/>
          <w:sz w:val="24"/>
          <w:highlight w:val="none"/>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cs="宋体"/>
          <w:color w:val="auto"/>
          <w:sz w:val="24"/>
          <w:highlight w:val="none"/>
        </w:rPr>
        <w:t>、项目属性、科研仪器设备采购</w:t>
      </w:r>
    </w:p>
    <w:p w14:paraId="36A00338">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33A85748">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项目属性见《供应商须知资料表》。</w:t>
      </w:r>
    </w:p>
    <w:p w14:paraId="5C293A20">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是否属于科研仪器设备采购见《供应商须知资料表》。</w:t>
      </w:r>
    </w:p>
    <w:p w14:paraId="34A7B6B7">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现场考察、磋商前答疑会</w:t>
      </w:r>
    </w:p>
    <w:p w14:paraId="21196333">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若《供应商须知资料表》中规定了组织现场考察、召开磋商前答疑会，则供应商应按要求在规定的时间和地点参加。</w:t>
      </w:r>
      <w:bookmarkStart w:id="123" w:name="_Toc142311024"/>
      <w:bookmarkStart w:id="124" w:name="_Toc305158790"/>
      <w:bookmarkStart w:id="125" w:name="_Toc305158864"/>
      <w:bookmarkStart w:id="126" w:name="_Toc150480760"/>
      <w:bookmarkStart w:id="127" w:name="_Toc150509273"/>
      <w:bookmarkStart w:id="128" w:name="_Toc226965712"/>
      <w:bookmarkStart w:id="129" w:name="_Toc265228360"/>
      <w:bookmarkStart w:id="130" w:name="_Toc226309766"/>
      <w:bookmarkStart w:id="131" w:name="_Toc151193910"/>
      <w:bookmarkStart w:id="132" w:name="_Toc150774727"/>
      <w:bookmarkStart w:id="133" w:name="_Toc520356146"/>
      <w:bookmarkStart w:id="134" w:name="_Toc151190149"/>
      <w:bookmarkStart w:id="135" w:name="_Toc151193692"/>
      <w:bookmarkStart w:id="136" w:name="_Toc150774622"/>
      <w:bookmarkStart w:id="137" w:name="_Toc226965795"/>
      <w:bookmarkStart w:id="138" w:name="_Toc264969212"/>
      <w:bookmarkStart w:id="139" w:name="_Toc226337218"/>
      <w:bookmarkStart w:id="140" w:name="_Toc151193836"/>
      <w:bookmarkStart w:id="141" w:name="_Toc195842887"/>
      <w:bookmarkStart w:id="142" w:name="_Toc151193764"/>
      <w:bookmarkStart w:id="143" w:name="_Toc151193620"/>
      <w:bookmarkStart w:id="144" w:name="_Toc127151522"/>
    </w:p>
    <w:p w14:paraId="65FF5166">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0EE2A6E6">
      <w:pPr>
        <w:numPr>
          <w:ilvl w:val="0"/>
          <w:numId w:val="1"/>
        </w:numPr>
        <w:tabs>
          <w:tab w:val="left" w:pos="360"/>
          <w:tab w:val="clear" w:pos="90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8298E29">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进口产品（本项目不涉及）</w:t>
      </w:r>
    </w:p>
    <w:p w14:paraId="5D3F951B">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482152">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493331F0">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中小企业定义：</w:t>
      </w:r>
    </w:p>
    <w:p w14:paraId="4C0F946F">
      <w:pPr>
        <w:pStyle w:val="16"/>
        <w:numPr>
          <w:ilvl w:val="0"/>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0CBE54C6">
      <w:pPr>
        <w:pStyle w:val="16"/>
        <w:numPr>
          <w:ilvl w:val="0"/>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7CC6D95D">
      <w:pPr>
        <w:pStyle w:val="16"/>
        <w:numPr>
          <w:ilvl w:val="0"/>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738DAFC8">
      <w:pPr>
        <w:pStyle w:val="16"/>
        <w:numPr>
          <w:ilvl w:val="0"/>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1D9D742F">
      <w:pPr>
        <w:pStyle w:val="16"/>
        <w:numPr>
          <w:ilvl w:val="1"/>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3C7EF189">
      <w:pPr>
        <w:pStyle w:val="16"/>
        <w:numPr>
          <w:ilvl w:val="1"/>
          <w:numId w:val="2"/>
        </w:numPr>
        <w:tabs>
          <w:tab w:val="left" w:pos="1980"/>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6D04F307">
      <w:pPr>
        <w:pStyle w:val="16"/>
        <w:numPr>
          <w:ilvl w:val="2"/>
          <w:numId w:val="2"/>
        </w:numPr>
        <w:tabs>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71EC40B6">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F7B78F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0EDD208F">
      <w:pPr>
        <w:tabs>
          <w:tab w:val="left" w:pos="1980"/>
        </w:tabs>
        <w:snapToGrid w:val="0"/>
        <w:spacing w:line="360" w:lineRule="auto"/>
        <w:ind w:left="2835" w:leftChars="135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5436CC97">
      <w:pPr>
        <w:tabs>
          <w:tab w:val="left" w:pos="1980"/>
        </w:tabs>
        <w:snapToGrid w:val="0"/>
        <w:spacing w:line="360" w:lineRule="auto"/>
        <w:ind w:left="2835" w:leftChars="135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55539100">
      <w:pPr>
        <w:tabs>
          <w:tab w:val="left" w:pos="1980"/>
        </w:tabs>
        <w:snapToGrid w:val="0"/>
        <w:spacing w:line="360" w:lineRule="auto"/>
        <w:ind w:left="2835" w:leftChars="135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01EE862B">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69DD8F1">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986DAB">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B41AFA">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627BCB33">
      <w:pPr>
        <w:pStyle w:val="16"/>
        <w:numPr>
          <w:ilvl w:val="2"/>
          <w:numId w:val="2"/>
        </w:numPr>
        <w:tabs>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422F5053">
      <w:pPr>
        <w:pStyle w:val="16"/>
        <w:numPr>
          <w:ilvl w:val="2"/>
          <w:numId w:val="2"/>
        </w:numPr>
        <w:tabs>
          <w:tab w:val="left" w:pos="2035"/>
          <w:tab w:val="left" w:pos="2977"/>
        </w:tabs>
        <w:snapToGrid w:val="0"/>
        <w:spacing w:line="360" w:lineRule="auto"/>
        <w:ind w:firstLineChars="0"/>
        <w:rPr>
          <w:rFonts w:hint="eastAsia" w:ascii="宋体" w:hAnsi="宋体" w:cs="宋体"/>
          <w:vanish/>
          <w:color w:val="auto"/>
          <w:sz w:val="24"/>
          <w:szCs w:val="24"/>
          <w:highlight w:val="none"/>
        </w:rPr>
      </w:pPr>
    </w:p>
    <w:p w14:paraId="2C29501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47F2C804">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7F021B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624B12CB">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751CEC5B">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71A44D8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3E1DD0">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本项目是否专门面向中小企业预留采购份额见第一章《采购邀请》。</w:t>
      </w:r>
    </w:p>
    <w:p w14:paraId="350A8736">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采购标的对应的中小企业划分标准所属行业见《供应商须知资料表》。</w:t>
      </w:r>
    </w:p>
    <w:p w14:paraId="6FF1E381">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小微企业价格评审优惠的政策调整：见第三章《评审方法和评审标准》。</w:t>
      </w:r>
    </w:p>
    <w:p w14:paraId="2DB1B13E">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14E96839">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501E3C">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1A4C13B">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w:t>
      </w:r>
    </w:p>
    <w:p w14:paraId="5895E1AE">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非政府强制采购的节能产品或环境标志产品，依据品目清单和认证证书实施政府优先采购。优先采购的具体规定见第三章《评审方法和评审标准》。</w:t>
      </w:r>
    </w:p>
    <w:p w14:paraId="08FFA3C2">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523A1142">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18B4EB45">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w:t>
      </w:r>
    </w:p>
    <w:p w14:paraId="6FB264D2">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正版软件（本项目不涉及）</w:t>
      </w:r>
    </w:p>
    <w:p w14:paraId="29D2B351">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335FAFA">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8EA066A">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6504CFD2">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4A597CA">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绿色采购政策</w:t>
      </w:r>
    </w:p>
    <w:p w14:paraId="5FBCD475">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绿色数据中心政策 </w:t>
      </w:r>
    </w:p>
    <w:p w14:paraId="6A2F6F8F">
      <w:pPr>
        <w:tabs>
          <w:tab w:val="left" w:pos="1980"/>
          <w:tab w:val="left" w:pos="2520"/>
        </w:tabs>
        <w:snapToGrid w:val="0"/>
        <w:spacing w:line="360" w:lineRule="auto"/>
        <w:ind w:left="1445"/>
        <w:rPr>
          <w:rFonts w:hint="eastAsia"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8D79FBC">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推广应用绿色建材</w:t>
      </w:r>
    </w:p>
    <w:p w14:paraId="4317C085">
      <w:pPr>
        <w:tabs>
          <w:tab w:val="left" w:pos="1980"/>
          <w:tab w:val="left" w:pos="2520"/>
        </w:tabs>
        <w:snapToGrid w:val="0"/>
        <w:spacing w:line="360" w:lineRule="auto"/>
        <w:ind w:left="1445"/>
        <w:rPr>
          <w:rFonts w:hint="eastAsia"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1418443">
      <w:pPr>
        <w:numPr>
          <w:ilvl w:val="2"/>
          <w:numId w:val="1"/>
        </w:numPr>
        <w:tabs>
          <w:tab w:val="left" w:pos="2014"/>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497BBEEE">
      <w:pPr>
        <w:tabs>
          <w:tab w:val="left" w:pos="1980"/>
          <w:tab w:val="left" w:pos="2520"/>
        </w:tabs>
        <w:snapToGrid w:val="0"/>
        <w:spacing w:line="360" w:lineRule="auto"/>
        <w:ind w:left="1445"/>
        <w:rPr>
          <w:rFonts w:hint="eastAsia"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p>
    <w:p w14:paraId="2B5879F8">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响应费用</w:t>
      </w:r>
    </w:p>
    <w:p w14:paraId="7C4BE54C">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供应商应自行承担所有与准备和参加磋商有关的费用，无论磋商的结果如何，采购人或采购代理机构在任何情况下均无承担这些费用的义务和责任。</w:t>
      </w:r>
    </w:p>
    <w:p w14:paraId="06A89C62">
      <w:pPr>
        <w:snapToGrid w:val="0"/>
        <w:spacing w:line="360" w:lineRule="auto"/>
        <w:jc w:val="center"/>
        <w:rPr>
          <w:rFonts w:hint="eastAsia" w:ascii="宋体" w:hAnsi="宋体"/>
          <w:b/>
          <w:bCs/>
          <w:color w:val="auto"/>
          <w:sz w:val="28"/>
          <w:szCs w:val="28"/>
          <w:highlight w:val="none"/>
        </w:rPr>
      </w:pPr>
      <w:bookmarkStart w:id="145" w:name="_1.8_计量单位"/>
      <w:bookmarkEnd w:id="145"/>
    </w:p>
    <w:p w14:paraId="0D84142D">
      <w:pPr>
        <w:snapToGrid w:val="0"/>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二   竞争性磋商文件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1F06BB25">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146" w:name="_Toc142311025"/>
      <w:bookmarkStart w:id="147" w:name="_Toc164608792"/>
      <w:bookmarkStart w:id="148" w:name="_Toc150774623"/>
      <w:bookmarkStart w:id="149" w:name="_Toc127151523"/>
      <w:bookmarkStart w:id="150" w:name="_Toc226965713"/>
      <w:bookmarkStart w:id="151" w:name="_Toc127161437"/>
      <w:bookmarkStart w:id="152" w:name="_Toc164229218"/>
      <w:bookmarkStart w:id="153" w:name="_Toc226309767"/>
      <w:bookmarkStart w:id="154" w:name="_Toc305158865"/>
      <w:bookmarkStart w:id="155" w:name="_Toc195842888"/>
      <w:bookmarkStart w:id="156" w:name="_Toc164229364"/>
      <w:bookmarkStart w:id="157" w:name="_Toc151193765"/>
      <w:bookmarkStart w:id="158" w:name="_Toc226965796"/>
      <w:bookmarkStart w:id="159" w:name="_Toc264969213"/>
      <w:bookmarkStart w:id="160" w:name="_Toc151193837"/>
      <w:bookmarkStart w:id="161" w:name="_Toc151193911"/>
      <w:bookmarkStart w:id="162" w:name="_Toc151190150"/>
      <w:bookmarkStart w:id="163" w:name="_Toc265228361"/>
      <w:bookmarkStart w:id="164" w:name="_Toc150774728"/>
      <w:bookmarkStart w:id="165" w:name="_Toc305158791"/>
      <w:bookmarkStart w:id="166" w:name="_Toc149720816"/>
      <w:bookmarkStart w:id="167" w:name="_Toc151193621"/>
      <w:bookmarkStart w:id="168" w:name="_Toc150509274"/>
      <w:bookmarkStart w:id="169" w:name="_Toc150480761"/>
      <w:bookmarkStart w:id="170" w:name="_Toc164608637"/>
      <w:bookmarkStart w:id="171" w:name="_Toc151193693"/>
      <w:bookmarkStart w:id="172" w:name="_Toc127151724"/>
      <w:bookmarkStart w:id="173" w:name="_Toc164351617"/>
      <w:bookmarkStart w:id="174" w:name="_Toc226337219"/>
      <w:bookmarkStart w:id="175" w:name="_Toc520356147"/>
      <w:r>
        <w:rPr>
          <w:rFonts w:hint="eastAsia" w:ascii="宋体" w:hAnsi="宋体" w:cs="宋体"/>
          <w:color w:val="auto"/>
          <w:sz w:val="24"/>
          <w:highlight w:val="none"/>
        </w:rPr>
        <w:t>竞争性磋商文件构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cs="宋体"/>
          <w:color w:val="auto"/>
          <w:sz w:val="24"/>
          <w:highlight w:val="none"/>
        </w:rPr>
        <w:t>成</w:t>
      </w:r>
    </w:p>
    <w:p w14:paraId="60464824">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竞争性磋商文件包括以下部分：</w:t>
      </w:r>
    </w:p>
    <w:p w14:paraId="034A74C8">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采购邀请</w:t>
      </w:r>
    </w:p>
    <w:p w14:paraId="5A6EDF1E">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供应商须知</w:t>
      </w:r>
    </w:p>
    <w:p w14:paraId="6A726029">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评审程序、评审方法和评审标准</w:t>
      </w:r>
    </w:p>
    <w:p w14:paraId="40DFE2B4">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采购需求</w:t>
      </w:r>
    </w:p>
    <w:p w14:paraId="6808FD1D">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合同草案条款</w:t>
      </w:r>
    </w:p>
    <w:p w14:paraId="3BE326B0">
      <w:pPr>
        <w:numPr>
          <w:ilvl w:val="0"/>
          <w:numId w:val="3"/>
        </w:numPr>
        <w:tabs>
          <w:tab w:val="left" w:pos="1980"/>
          <w:tab w:val="left" w:pos="2520"/>
        </w:tabs>
        <w:snapToGrid w:val="0"/>
        <w:spacing w:line="360" w:lineRule="auto"/>
        <w:ind w:left="1440" w:firstLine="5"/>
        <w:rPr>
          <w:rFonts w:hint="eastAsia" w:ascii="宋体" w:hAnsi="宋体" w:cs="宋体"/>
          <w:color w:val="auto"/>
          <w:sz w:val="24"/>
          <w:highlight w:val="none"/>
        </w:rPr>
      </w:pPr>
      <w:r>
        <w:rPr>
          <w:rFonts w:hint="eastAsia" w:ascii="宋体" w:hAnsi="宋体" w:cs="宋体"/>
          <w:color w:val="auto"/>
          <w:sz w:val="24"/>
          <w:highlight w:val="none"/>
        </w:rPr>
        <w:t>响应文件格式</w:t>
      </w:r>
    </w:p>
    <w:p w14:paraId="14501006">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5E8360BD">
      <w:pPr>
        <w:numPr>
          <w:ilvl w:val="0"/>
          <w:numId w:val="1"/>
        </w:numPr>
        <w:tabs>
          <w:tab w:val="left" w:pos="1080"/>
          <w:tab w:val="left" w:pos="2014"/>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对竞争性磋商文件的澄清或修改</w:t>
      </w:r>
    </w:p>
    <w:p w14:paraId="71231317">
      <w:pPr>
        <w:numPr>
          <w:ilvl w:val="1"/>
          <w:numId w:val="1"/>
        </w:numPr>
        <w:tabs>
          <w:tab w:val="left" w:pos="1080"/>
          <w:tab w:val="left" w:pos="1561"/>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采购人或采购代理机构对已发出的竞争性磋商文件进行必要澄清或者修改的，将在原公告发布媒体上以发布更正公告的形式通知所有获取磋商文件的供应商。</w:t>
      </w:r>
    </w:p>
    <w:p w14:paraId="69A050CA">
      <w:pPr>
        <w:numPr>
          <w:ilvl w:val="1"/>
          <w:numId w:val="1"/>
        </w:numPr>
        <w:tabs>
          <w:tab w:val="left" w:pos="1080"/>
          <w:tab w:val="left" w:pos="1561"/>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464843E7">
      <w:pPr>
        <w:snapToGrid w:val="0"/>
        <w:spacing w:line="360" w:lineRule="auto"/>
        <w:jc w:val="center"/>
        <w:rPr>
          <w:rFonts w:hint="eastAsia" w:ascii="宋体" w:hAnsi="宋体"/>
          <w:b/>
          <w:bCs/>
          <w:color w:val="auto"/>
          <w:sz w:val="28"/>
          <w:szCs w:val="28"/>
          <w:highlight w:val="none"/>
        </w:rPr>
      </w:pPr>
      <w:bookmarkStart w:id="176" w:name="_Toc516367020"/>
      <w:bookmarkStart w:id="177" w:name="_Toc150774731"/>
      <w:bookmarkStart w:id="178" w:name="_Toc151190153"/>
      <w:bookmarkStart w:id="179" w:name="_Toc150509277"/>
      <w:bookmarkStart w:id="180" w:name="_Toc150774626"/>
      <w:bookmarkStart w:id="181" w:name="_Toc226965716"/>
      <w:bookmarkStart w:id="182" w:name="_Toc151193840"/>
      <w:bookmarkStart w:id="183" w:name="_Toc265228364"/>
      <w:bookmarkStart w:id="184" w:name="_Toc305158868"/>
      <w:bookmarkStart w:id="185" w:name="_Toc151193914"/>
      <w:bookmarkStart w:id="186" w:name="_Toc127151526"/>
      <w:bookmarkStart w:id="187" w:name="_Toc142311028"/>
      <w:bookmarkStart w:id="188" w:name="_Toc264969216"/>
      <w:bookmarkStart w:id="189" w:name="_Toc195842891"/>
      <w:bookmarkStart w:id="190" w:name="_Toc226337222"/>
      <w:bookmarkStart w:id="191" w:name="_Toc151193624"/>
      <w:bookmarkStart w:id="192" w:name="_Toc226309770"/>
      <w:bookmarkStart w:id="193" w:name="_Toc151193696"/>
      <w:bookmarkStart w:id="194" w:name="_Toc520356150"/>
      <w:bookmarkStart w:id="195" w:name="_Toc151193768"/>
      <w:bookmarkStart w:id="196" w:name="_Toc226965799"/>
      <w:bookmarkStart w:id="197" w:name="_Toc305158794"/>
      <w:bookmarkStart w:id="198" w:name="_Toc150480764"/>
    </w:p>
    <w:p w14:paraId="5D61CBAF">
      <w:pPr>
        <w:snapToGrid w:val="0"/>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三   响应文件</w:t>
      </w:r>
      <w:bookmarkEnd w:id="176"/>
      <w:r>
        <w:rPr>
          <w:rFonts w:hint="eastAsia" w:ascii="宋体" w:hAnsi="宋体"/>
          <w:b/>
          <w:bCs/>
          <w:color w:val="auto"/>
          <w:sz w:val="28"/>
          <w:szCs w:val="28"/>
          <w:highlight w:val="none"/>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0BCFDF74">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199" w:name="_Toc149720820"/>
      <w:bookmarkStart w:id="200" w:name="_Toc265228365"/>
      <w:bookmarkStart w:id="201" w:name="_Toc226965717"/>
      <w:bookmarkStart w:id="202" w:name="_Toc151190154"/>
      <w:bookmarkStart w:id="203" w:name="_Toc127161441"/>
      <w:bookmarkStart w:id="204" w:name="_Toc142311029"/>
      <w:bookmarkStart w:id="205" w:name="_Toc195842892"/>
      <w:bookmarkStart w:id="206" w:name="_Toc127151527"/>
      <w:bookmarkStart w:id="207" w:name="_Toc164229222"/>
      <w:bookmarkStart w:id="208" w:name="_Toc164608796"/>
      <w:bookmarkStart w:id="209" w:name="_Toc151193625"/>
      <w:bookmarkStart w:id="210" w:name="_Toc226309771"/>
      <w:bookmarkStart w:id="211" w:name="_Toc150509278"/>
      <w:bookmarkStart w:id="212" w:name="_Toc151193915"/>
      <w:bookmarkStart w:id="213" w:name="_Toc150480765"/>
      <w:bookmarkStart w:id="214" w:name="_Toc264969217"/>
      <w:bookmarkStart w:id="215" w:name="_Toc226965800"/>
      <w:bookmarkStart w:id="216" w:name="_Toc164229368"/>
      <w:bookmarkStart w:id="217" w:name="_Toc520356151"/>
      <w:bookmarkStart w:id="218" w:name="_Toc150774732"/>
      <w:bookmarkStart w:id="219" w:name="_Toc127151728"/>
      <w:bookmarkStart w:id="220" w:name="_Toc151193769"/>
      <w:bookmarkStart w:id="221" w:name="_Toc151193697"/>
      <w:bookmarkStart w:id="222" w:name="_Toc164351621"/>
      <w:bookmarkStart w:id="223" w:name="_Toc151193841"/>
      <w:bookmarkStart w:id="224" w:name="_Toc305158869"/>
      <w:bookmarkStart w:id="225" w:name="_Toc226337223"/>
      <w:bookmarkStart w:id="226" w:name="_Toc164608641"/>
      <w:bookmarkStart w:id="227" w:name="_Toc150774627"/>
      <w:bookmarkStart w:id="228" w:name="_Toc305158795"/>
      <w:bookmarkStart w:id="229" w:name="_Toc516367021"/>
      <w:r>
        <w:rPr>
          <w:rFonts w:hint="eastAsia" w:ascii="宋体" w:hAnsi="宋体" w:cs="宋体"/>
          <w:color w:val="auto"/>
          <w:sz w:val="24"/>
          <w:highlight w:val="none"/>
        </w:rPr>
        <w:t>响应范围、竞争性磋商文件中计量单位的使用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eastAsia" w:ascii="宋体" w:hAnsi="宋体" w:cs="宋体"/>
          <w:color w:val="auto"/>
          <w:sz w:val="24"/>
          <w:highlight w:val="none"/>
        </w:rPr>
        <w:t>及磋商语言</w:t>
      </w:r>
    </w:p>
    <w:p w14:paraId="40BC27AD">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0D4AFD14">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除竞争性磋商文件有特殊要求外，本项目磋商所使用的计量单位，应采用中华人民共和国法定计量单位。</w:t>
      </w:r>
    </w:p>
    <w:p w14:paraId="10DBAAF4">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3A1F71">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230" w:name="_Ref467306676"/>
      <w:bookmarkStart w:id="231" w:name="_Ref467306195"/>
      <w:bookmarkStart w:id="232" w:name="_Toc516367022"/>
      <w:bookmarkStart w:id="233" w:name="_Toc305158870"/>
      <w:bookmarkStart w:id="234" w:name="_Toc164608797"/>
      <w:bookmarkStart w:id="235" w:name="_Toc164608642"/>
      <w:bookmarkStart w:id="236" w:name="_Toc151193698"/>
      <w:bookmarkStart w:id="237" w:name="_Toc127151528"/>
      <w:bookmarkStart w:id="238" w:name="_Toc151193842"/>
      <w:bookmarkStart w:id="239" w:name="_Toc151193626"/>
      <w:bookmarkStart w:id="240" w:name="_Toc127161442"/>
      <w:bookmarkStart w:id="241" w:name="_Toc264969218"/>
      <w:bookmarkStart w:id="242" w:name="_Toc150480766"/>
      <w:bookmarkStart w:id="243" w:name="_Toc520356152"/>
      <w:bookmarkStart w:id="244" w:name="_Toc265228366"/>
      <w:bookmarkStart w:id="245" w:name="_Toc195842893"/>
      <w:bookmarkStart w:id="246" w:name="_Toc226965718"/>
      <w:bookmarkStart w:id="247" w:name="_Toc305158796"/>
      <w:bookmarkStart w:id="248" w:name="_Toc226337224"/>
      <w:bookmarkStart w:id="249" w:name="_Toc150509279"/>
      <w:bookmarkStart w:id="250" w:name="_Toc127151729"/>
      <w:bookmarkStart w:id="251" w:name="_Toc150774628"/>
      <w:bookmarkStart w:id="252" w:name="_Toc164351622"/>
      <w:bookmarkStart w:id="253" w:name="_Toc226309772"/>
      <w:bookmarkStart w:id="254" w:name="_Toc151193916"/>
      <w:bookmarkStart w:id="255" w:name="_Toc149720821"/>
      <w:bookmarkStart w:id="256" w:name="_Toc150774733"/>
      <w:bookmarkStart w:id="257" w:name="_Toc142311030"/>
      <w:bookmarkStart w:id="258" w:name="_Toc151190155"/>
      <w:bookmarkStart w:id="259" w:name="_Toc151193770"/>
      <w:bookmarkStart w:id="260" w:name="_Toc164229223"/>
      <w:bookmarkStart w:id="261" w:name="_Toc164229369"/>
      <w:bookmarkStart w:id="262" w:name="_Toc226965801"/>
      <w:r>
        <w:rPr>
          <w:rFonts w:hint="eastAsia" w:ascii="宋体" w:hAnsi="宋体" w:cs="宋体"/>
          <w:color w:val="auto"/>
          <w:sz w:val="24"/>
          <w:highlight w:val="none"/>
        </w:rPr>
        <w:t>响应文件</w:t>
      </w:r>
      <w:bookmarkEnd w:id="230"/>
      <w:bookmarkEnd w:id="231"/>
      <w:bookmarkEnd w:id="232"/>
      <w:r>
        <w:rPr>
          <w:rFonts w:hint="eastAsia" w:ascii="宋体" w:hAnsi="宋体" w:cs="宋体"/>
          <w:color w:val="auto"/>
          <w:sz w:val="24"/>
          <w:highlight w:val="none"/>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0ED512DD">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bookmarkStart w:id="263" w:name="_Ref467052588"/>
      <w:r>
        <w:rPr>
          <w:rFonts w:hint="eastAsia" w:ascii="宋体" w:hAnsi="宋体" w:cs="宋体"/>
          <w:color w:val="auto"/>
          <w:sz w:val="24"/>
          <w:highlight w:val="none"/>
        </w:rPr>
        <w:t>供应商应当按照竞争性磋商文件的要求编制响应文件，</w:t>
      </w:r>
      <w:r>
        <w:rPr>
          <w:rFonts w:hint="eastAsia" w:ascii="宋体" w:hAnsi="宋体" w:cs="宋体"/>
          <w:color w:val="auto"/>
          <w:kern w:val="0"/>
          <w:sz w:val="24"/>
          <w:highlight w:val="none"/>
        </w:rPr>
        <w:t>并对其提交的响应文件的真实性、合法性承担法律责任</w:t>
      </w:r>
      <w:r>
        <w:rPr>
          <w:rFonts w:hint="eastAsia" w:ascii="宋体" w:hAnsi="宋体" w:cs="宋体"/>
          <w:color w:val="auto"/>
          <w:sz w:val="24"/>
          <w:highlight w:val="none"/>
        </w:rPr>
        <w:t>。响应文件的部分格式要求，见第六章《响应文件格式》。</w:t>
      </w:r>
    </w:p>
    <w:p w14:paraId="1F414F7A">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kern w:val="0"/>
          <w:sz w:val="24"/>
          <w:highlight w:val="none"/>
        </w:rPr>
        <w:t>对于竞争性磋商文件中标记了“实质性格式”文件的，</w:t>
      </w:r>
      <w:r>
        <w:rPr>
          <w:rFonts w:hint="eastAsia" w:ascii="宋体" w:hAnsi="宋体" w:cs="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kern w:val="0"/>
          <w:sz w:val="24"/>
          <w:highlight w:val="none"/>
        </w:rPr>
        <w:t>否则响应无效</w:t>
      </w:r>
      <w:r>
        <w:rPr>
          <w:rFonts w:hint="eastAsia" w:ascii="宋体" w:hAnsi="宋体" w:cs="宋体"/>
          <w:color w:val="auto"/>
          <w:kern w:val="0"/>
          <w:sz w:val="24"/>
          <w:highlight w:val="none"/>
        </w:rPr>
        <w:t>。未标记“实质性格式”的文件和竞争性磋商文件未提供格式的内容，可由供应商自行编写。</w:t>
      </w:r>
    </w:p>
    <w:p w14:paraId="2792AEB9">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第三章《评审方法和评审标准》中涉及的证明文件。</w:t>
      </w:r>
    </w:p>
    <w:p w14:paraId="4145B9E9">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AF9FD28">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供应商认为应附的其他材料。</w:t>
      </w:r>
      <w:bookmarkEnd w:id="263"/>
    </w:p>
    <w:p w14:paraId="5371B562">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264" w:name="_Toc151190157"/>
      <w:bookmarkStart w:id="265" w:name="_Toc127161444"/>
      <w:bookmarkStart w:id="266" w:name="_Toc127151530"/>
      <w:bookmarkStart w:id="267" w:name="_Toc127151731"/>
      <w:bookmarkStart w:id="268" w:name="_Toc150774735"/>
      <w:bookmarkStart w:id="269" w:name="_Toc164608644"/>
      <w:bookmarkStart w:id="270" w:name="_Toc151193628"/>
      <w:bookmarkStart w:id="271" w:name="_Toc142311032"/>
      <w:bookmarkStart w:id="272" w:name="_Toc164351624"/>
      <w:bookmarkStart w:id="273" w:name="_Toc150509281"/>
      <w:bookmarkStart w:id="274" w:name="_Toc151193918"/>
      <w:bookmarkStart w:id="275" w:name="_Toc164608799"/>
      <w:bookmarkStart w:id="276" w:name="_Toc150480768"/>
      <w:bookmarkStart w:id="277" w:name="_Toc150774630"/>
      <w:bookmarkStart w:id="278" w:name="_Toc151193844"/>
      <w:bookmarkStart w:id="279" w:name="_Toc520356155"/>
      <w:bookmarkStart w:id="280" w:name="_Toc195842895"/>
      <w:bookmarkStart w:id="281" w:name="_Toc149720823"/>
      <w:bookmarkStart w:id="282" w:name="_Toc151193700"/>
      <w:bookmarkStart w:id="283" w:name="_Toc151193772"/>
      <w:bookmarkStart w:id="284" w:name="_Toc164229371"/>
      <w:bookmarkStart w:id="285" w:name="_Toc164229225"/>
      <w:r>
        <w:rPr>
          <w:rFonts w:hint="eastAsia" w:ascii="宋体" w:hAnsi="宋体" w:cs="宋体"/>
          <w:color w:val="auto"/>
          <w:sz w:val="24"/>
          <w:highlight w:val="none"/>
        </w:rPr>
        <w:t>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4C483FE0">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所有响应均以人民币报价。</w:t>
      </w:r>
    </w:p>
    <w:p w14:paraId="0AC754F6">
      <w:pPr>
        <w:numPr>
          <w:ilvl w:val="1"/>
          <w:numId w:val="1"/>
        </w:numPr>
        <w:tabs>
          <w:tab w:val="left" w:pos="1080"/>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1C131A04">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按照竞争性磋商文件要求完成本项目的全部相关工程费用。</w:t>
      </w:r>
    </w:p>
    <w:p w14:paraId="23D9CB38">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7555ECEC">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供应商不能提供任何有选择性或可调整的最终报价（</w:t>
      </w:r>
      <w:r>
        <w:rPr>
          <w:rFonts w:hint="eastAsia" w:ascii="宋体" w:hAnsi="宋体" w:cs="宋体"/>
          <w:color w:val="auto"/>
          <w:kern w:val="0"/>
          <w:sz w:val="24"/>
          <w:highlight w:val="none"/>
        </w:rPr>
        <w:t>竞争性磋商文件</w:t>
      </w:r>
      <w:r>
        <w:rPr>
          <w:rFonts w:hint="eastAsia" w:ascii="宋体" w:hAnsi="宋体" w:cs="宋体"/>
          <w:color w:val="auto"/>
          <w:sz w:val="24"/>
          <w:highlight w:val="none"/>
        </w:rPr>
        <w:t>另有规定的除外），否则其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7C6F01CE">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磋商保证金</w:t>
      </w:r>
    </w:p>
    <w:p w14:paraId="49A54794">
      <w:pPr>
        <w:tabs>
          <w:tab w:val="left" w:pos="360"/>
        </w:tabs>
        <w:snapToGrid w:val="0"/>
        <w:spacing w:line="360" w:lineRule="auto"/>
        <w:ind w:firstLine="360" w:firstLineChars="150"/>
        <w:outlineLvl w:val="1"/>
        <w:rPr>
          <w:rFonts w:hint="eastAsia" w:ascii="宋体" w:hAnsi="宋体" w:cs="宋体"/>
          <w:color w:val="auto"/>
          <w:sz w:val="24"/>
          <w:highlight w:val="none"/>
        </w:rPr>
      </w:pPr>
      <w:r>
        <w:rPr>
          <w:rFonts w:hint="eastAsia" w:ascii="宋体" w:hAnsi="宋体" w:cs="宋体"/>
          <w:color w:val="auto"/>
          <w:sz w:val="24"/>
          <w:highlight w:val="none"/>
        </w:rPr>
        <w:t>根据江苏省和常州市的相关文件规定，免收保证金。</w:t>
      </w:r>
    </w:p>
    <w:p w14:paraId="64B7C976">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响应有效期</w:t>
      </w:r>
    </w:p>
    <w:p w14:paraId="79B8A5C1">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3BBBE0EA">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响应文件的签署、盖章</w:t>
      </w:r>
    </w:p>
    <w:p w14:paraId="31B037F7">
      <w:pPr>
        <w:numPr>
          <w:ilvl w:val="1"/>
          <w:numId w:val="1"/>
        </w:numPr>
        <w:tabs>
          <w:tab w:val="left" w:pos="1080"/>
        </w:tabs>
        <w:snapToGrid w:val="0"/>
        <w:spacing w:line="360" w:lineRule="auto"/>
        <w:rPr>
          <w:rFonts w:hint="eastAsia" w:ascii="宋体" w:hAnsi="宋体" w:cs="宋体"/>
          <w:color w:val="auto"/>
          <w:sz w:val="24"/>
          <w:highlight w:val="none"/>
        </w:rPr>
      </w:pPr>
      <w:bookmarkStart w:id="286" w:name="_Toc226965807"/>
      <w:bookmarkStart w:id="287" w:name="_Toc151193704"/>
      <w:bookmarkStart w:id="288" w:name="_Toc226337230"/>
      <w:bookmarkStart w:id="289" w:name="_Toc150509285"/>
      <w:bookmarkStart w:id="290" w:name="_Toc264969224"/>
      <w:bookmarkStart w:id="291" w:name="_Toc305158802"/>
      <w:bookmarkStart w:id="292" w:name="_Toc127151534"/>
      <w:bookmarkStart w:id="293" w:name="_Toc150480772"/>
      <w:bookmarkStart w:id="294" w:name="_Toc226309778"/>
      <w:bookmarkStart w:id="295" w:name="_Toc520356159"/>
      <w:bookmarkStart w:id="296" w:name="_Toc142311036"/>
      <w:bookmarkStart w:id="297" w:name="_Toc151193848"/>
      <w:bookmarkStart w:id="298" w:name="_Toc150774634"/>
      <w:bookmarkStart w:id="299" w:name="_Toc151193632"/>
      <w:bookmarkStart w:id="300" w:name="_Toc305158876"/>
      <w:bookmarkStart w:id="301" w:name="_Toc265228372"/>
      <w:bookmarkStart w:id="302" w:name="_Toc151193776"/>
      <w:bookmarkStart w:id="303" w:name="_Toc195842899"/>
      <w:bookmarkStart w:id="304" w:name="_Toc151190161"/>
      <w:bookmarkStart w:id="305" w:name="_Toc226965724"/>
      <w:bookmarkStart w:id="306" w:name="_Toc150774739"/>
      <w:bookmarkStart w:id="307" w:name="_Toc151193922"/>
      <w:r>
        <w:rPr>
          <w:rFonts w:hint="eastAsia" w:ascii="宋体" w:hAnsi="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05FD918">
      <w:pPr>
        <w:numPr>
          <w:ilvl w:val="1"/>
          <w:numId w:val="1"/>
        </w:numPr>
        <w:tabs>
          <w:tab w:val="left" w:pos="1080"/>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竞争性磋商文件要求盖章的内容，一般通过磋商响应文件编制工具加盖电子签章。</w:t>
      </w:r>
    </w:p>
    <w:p w14:paraId="081849CF">
      <w:pPr>
        <w:snapToGrid w:val="0"/>
        <w:spacing w:line="360" w:lineRule="auto"/>
        <w:jc w:val="center"/>
        <w:rPr>
          <w:rFonts w:hint="eastAsia" w:ascii="宋体" w:hAnsi="宋体"/>
          <w:b/>
          <w:bCs/>
          <w:color w:val="auto"/>
          <w:sz w:val="28"/>
          <w:szCs w:val="28"/>
          <w:highlight w:val="none"/>
        </w:rPr>
      </w:pPr>
    </w:p>
    <w:p w14:paraId="26D446BE">
      <w:pPr>
        <w:snapToGrid w:val="0"/>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四   响应文件的提交</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38AAB7DF">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308" w:name="_Toc305158803"/>
      <w:bookmarkStart w:id="309" w:name="_Toc226337231"/>
      <w:bookmarkStart w:id="310" w:name="_Toc164229376"/>
      <w:bookmarkStart w:id="311" w:name="_Toc151193923"/>
      <w:bookmarkStart w:id="312" w:name="_Toc226965725"/>
      <w:bookmarkStart w:id="313" w:name="_Toc151190162"/>
      <w:bookmarkStart w:id="314" w:name="_Toc164229230"/>
      <w:bookmarkStart w:id="315" w:name="_Toc195842900"/>
      <w:bookmarkStart w:id="316" w:name="_Toc265228373"/>
      <w:bookmarkStart w:id="317" w:name="_Toc150774635"/>
      <w:bookmarkStart w:id="318" w:name="_Toc151193849"/>
      <w:bookmarkStart w:id="319" w:name="_Toc142311037"/>
      <w:bookmarkStart w:id="320" w:name="_Toc149720828"/>
      <w:bookmarkStart w:id="321" w:name="_Toc520356160"/>
      <w:bookmarkStart w:id="322" w:name="_Toc305158877"/>
      <w:bookmarkStart w:id="323" w:name="_Toc264969225"/>
      <w:bookmarkStart w:id="324" w:name="_Toc150480773"/>
      <w:bookmarkStart w:id="325" w:name="_Toc127151535"/>
      <w:bookmarkStart w:id="326" w:name="_Toc150509286"/>
      <w:bookmarkStart w:id="327" w:name="_Toc226965808"/>
      <w:bookmarkStart w:id="328" w:name="_Toc150774740"/>
      <w:bookmarkStart w:id="329" w:name="_Toc164351629"/>
      <w:bookmarkStart w:id="330" w:name="_Toc164608804"/>
      <w:bookmarkStart w:id="331" w:name="_Toc127151736"/>
      <w:bookmarkStart w:id="332" w:name="_Toc151193705"/>
      <w:bookmarkStart w:id="333" w:name="_Toc226309779"/>
      <w:bookmarkStart w:id="334" w:name="_Toc151193777"/>
      <w:bookmarkStart w:id="335" w:name="_Toc127161449"/>
      <w:bookmarkStart w:id="336" w:name="_Toc151193633"/>
      <w:bookmarkStart w:id="337" w:name="_Toc164608649"/>
      <w:r>
        <w:rPr>
          <w:rFonts w:hint="eastAsia" w:ascii="宋体" w:hAnsi="宋体" w:cs="宋体"/>
          <w:color w:val="auto"/>
          <w:sz w:val="24"/>
          <w:highlight w:val="none"/>
        </w:rPr>
        <w:t>响应文件的</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cs="宋体"/>
          <w:color w:val="auto"/>
          <w:sz w:val="24"/>
          <w:highlight w:val="none"/>
        </w:rPr>
        <w:t>提交</w:t>
      </w:r>
    </w:p>
    <w:p w14:paraId="085CBF7B">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本项目使用“苏采云”政府采购一体化平台。供应商根据竞争性磋商文件及“苏采云”政府采购一体化平台供应商操作手册要求编制、生成并提交电子响应文件。</w:t>
      </w:r>
    </w:p>
    <w:p w14:paraId="692A8083">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采购人及采购代理机构拒绝接受通过电子交易平台以外任何形式提交的响应文件。</w:t>
      </w:r>
    </w:p>
    <w:p w14:paraId="1E910F96">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338" w:name="_Toc150774636"/>
      <w:bookmarkStart w:id="339" w:name="_Toc151193850"/>
      <w:bookmarkStart w:id="340" w:name="_Toc151193706"/>
      <w:bookmarkStart w:id="341" w:name="_Toc150774741"/>
      <w:bookmarkStart w:id="342" w:name="_Toc127161450"/>
      <w:bookmarkStart w:id="343" w:name="_Toc226309780"/>
      <w:bookmarkStart w:id="344" w:name="_Toc226337232"/>
      <w:bookmarkStart w:id="345" w:name="_Toc164229231"/>
      <w:bookmarkStart w:id="346" w:name="_Toc142311038"/>
      <w:bookmarkStart w:id="347" w:name="_Toc127151536"/>
      <w:bookmarkStart w:id="348" w:name="_Toc149720829"/>
      <w:bookmarkStart w:id="349" w:name="_Toc151193634"/>
      <w:bookmarkStart w:id="350" w:name="_Toc150480774"/>
      <w:bookmarkStart w:id="351" w:name="_Toc226965726"/>
      <w:bookmarkStart w:id="352" w:name="_Toc164608805"/>
      <w:bookmarkStart w:id="353" w:name="_Toc164608650"/>
      <w:bookmarkStart w:id="354" w:name="_Toc151190163"/>
      <w:bookmarkStart w:id="355" w:name="_Toc150509287"/>
      <w:bookmarkStart w:id="356" w:name="_Toc151193778"/>
      <w:bookmarkStart w:id="357" w:name="_Toc305158878"/>
      <w:bookmarkStart w:id="358" w:name="_Toc127151737"/>
      <w:bookmarkStart w:id="359" w:name="_Toc164351630"/>
      <w:bookmarkStart w:id="360" w:name="_Toc305158804"/>
      <w:bookmarkStart w:id="361" w:name="_Toc151193924"/>
      <w:bookmarkStart w:id="362" w:name="_Toc195842901"/>
      <w:bookmarkStart w:id="363" w:name="_Toc265228374"/>
      <w:bookmarkStart w:id="364" w:name="_Toc164229377"/>
      <w:bookmarkStart w:id="365" w:name="_Toc520356161"/>
      <w:bookmarkStart w:id="366" w:name="_Toc264969226"/>
      <w:bookmarkStart w:id="367" w:name="_Toc226965809"/>
      <w:r>
        <w:rPr>
          <w:rFonts w:hint="eastAsia" w:ascii="宋体" w:hAnsi="宋体" w:cs="宋体"/>
          <w:color w:val="auto"/>
          <w:sz w:val="24"/>
          <w:highlight w:val="none"/>
        </w:rPr>
        <w:t>响应文件截止</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ascii="宋体" w:hAnsi="宋体" w:cs="宋体"/>
          <w:color w:val="auto"/>
          <w:sz w:val="24"/>
          <w:highlight w:val="none"/>
        </w:rPr>
        <w:t>时间</w:t>
      </w:r>
    </w:p>
    <w:p w14:paraId="3E0FB9D8">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供应商应在竞争性磋商文件要求提交响应文件截止时间前，将电子响应文件提交至“苏采云”政府采购一体化平台。</w:t>
      </w:r>
    </w:p>
    <w:p w14:paraId="7C5970D3">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368" w:name="_Toc305158805"/>
      <w:bookmarkStart w:id="369" w:name="_Toc164608806"/>
      <w:bookmarkStart w:id="370" w:name="_Toc226337233"/>
      <w:bookmarkStart w:id="371" w:name="_Toc151190164"/>
      <w:bookmarkStart w:id="372" w:name="_Toc164608651"/>
      <w:bookmarkStart w:id="373" w:name="_Toc164229378"/>
      <w:bookmarkStart w:id="374" w:name="_Toc150480775"/>
      <w:bookmarkStart w:id="375" w:name="_Toc264969227"/>
      <w:bookmarkStart w:id="376" w:name="_Toc226965810"/>
      <w:bookmarkStart w:id="377" w:name="_Toc151193635"/>
      <w:bookmarkStart w:id="378" w:name="_Toc520356162"/>
      <w:bookmarkStart w:id="379" w:name="_Toc151193851"/>
      <w:bookmarkStart w:id="380" w:name="_Toc265228375"/>
      <w:bookmarkStart w:id="381" w:name="_Toc226309781"/>
      <w:bookmarkStart w:id="382" w:name="_Toc127161451"/>
      <w:bookmarkStart w:id="383" w:name="_Toc305158879"/>
      <w:bookmarkStart w:id="384" w:name="_Toc151193707"/>
      <w:bookmarkStart w:id="385" w:name="_Toc149720830"/>
      <w:bookmarkStart w:id="386" w:name="_Toc226965727"/>
      <w:bookmarkStart w:id="387" w:name="_Toc164229232"/>
      <w:bookmarkStart w:id="388" w:name="_Toc150774742"/>
      <w:bookmarkStart w:id="389" w:name="_Toc127151537"/>
      <w:bookmarkStart w:id="390" w:name="_Toc142311039"/>
      <w:bookmarkStart w:id="391" w:name="_Toc195842902"/>
      <w:bookmarkStart w:id="392" w:name="_Toc127151738"/>
      <w:bookmarkStart w:id="393" w:name="_Toc151193779"/>
      <w:bookmarkStart w:id="394" w:name="_Toc150774637"/>
      <w:bookmarkStart w:id="395" w:name="_Toc150509288"/>
      <w:bookmarkStart w:id="396" w:name="_Toc151193925"/>
      <w:bookmarkStart w:id="397" w:name="_Toc164351631"/>
      <w:r>
        <w:rPr>
          <w:rFonts w:hint="eastAsia" w:ascii="宋体" w:hAnsi="宋体" w:cs="宋体"/>
          <w:color w:val="auto"/>
          <w:sz w:val="24"/>
          <w:highlight w:val="none"/>
        </w:rPr>
        <w:t>响应文件的修改与撤回</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0E4A5B4C">
      <w:pPr>
        <w:numPr>
          <w:ilvl w:val="1"/>
          <w:numId w:val="1"/>
        </w:numPr>
        <w:tabs>
          <w:tab w:val="left" w:pos="1080"/>
          <w:tab w:val="left" w:pos="2014"/>
        </w:tabs>
        <w:snapToGrid w:val="0"/>
        <w:spacing w:line="360" w:lineRule="auto"/>
        <w:ind w:left="1077" w:hanging="720"/>
        <w:rPr>
          <w:color w:val="auto"/>
          <w:sz w:val="24"/>
          <w:highlight w:val="none"/>
        </w:rPr>
      </w:pPr>
      <w:r>
        <w:rPr>
          <w:rFonts w:hint="eastAsia" w:ascii="宋体" w:hAnsi="宋体" w:cs="宋体"/>
          <w:color w:val="auto"/>
          <w:sz w:val="24"/>
          <w:highlight w:val="none"/>
        </w:rPr>
        <w:t>提交响应文件截止时间前，供应商可以通过电子交易平台对所提交的响应文件进行补充、修改或者撤回。</w:t>
      </w:r>
    </w:p>
    <w:p w14:paraId="559D23D6">
      <w:pPr>
        <w:numPr>
          <w:ilvl w:val="1"/>
          <w:numId w:val="1"/>
        </w:numPr>
        <w:tabs>
          <w:tab w:val="left" w:pos="1080"/>
          <w:tab w:val="left" w:pos="2014"/>
        </w:tabs>
        <w:snapToGrid w:val="0"/>
        <w:spacing w:line="360" w:lineRule="auto"/>
        <w:ind w:left="1077" w:hanging="720"/>
        <w:rPr>
          <w:color w:val="auto"/>
          <w:sz w:val="24"/>
          <w:highlight w:val="none"/>
        </w:rPr>
      </w:pPr>
      <w:r>
        <w:rPr>
          <w:rFonts w:hint="eastAsia" w:ascii="宋体" w:hAnsi="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kern w:val="0"/>
          <w:sz w:val="24"/>
          <w:highlight w:val="none"/>
        </w:rPr>
        <w:t>充、修改的内容为准。</w:t>
      </w:r>
    </w:p>
    <w:p w14:paraId="0874AF8C">
      <w:pPr>
        <w:snapToGrid w:val="0"/>
        <w:spacing w:line="360" w:lineRule="auto"/>
        <w:jc w:val="center"/>
        <w:rPr>
          <w:rFonts w:hint="eastAsia" w:ascii="宋体" w:hAnsi="宋体"/>
          <w:b/>
          <w:bCs/>
          <w:color w:val="auto"/>
          <w:sz w:val="28"/>
          <w:szCs w:val="28"/>
          <w:highlight w:val="none"/>
        </w:rPr>
      </w:pPr>
    </w:p>
    <w:p w14:paraId="7F7F496C">
      <w:pPr>
        <w:snapToGrid w:val="0"/>
        <w:spacing w:line="360" w:lineRule="auto"/>
        <w:jc w:val="center"/>
        <w:rPr>
          <w:rFonts w:hint="eastAsia" w:ascii="宋体" w:hAnsi="宋体"/>
          <w:b/>
          <w:bCs/>
          <w:color w:val="auto"/>
          <w:sz w:val="28"/>
          <w:szCs w:val="28"/>
          <w:highlight w:val="none"/>
        </w:rPr>
      </w:pPr>
      <w:bookmarkStart w:id="398" w:name="_Toc226337234"/>
      <w:bookmarkStart w:id="399" w:name="_Toc226965811"/>
      <w:bookmarkStart w:id="400" w:name="_Toc264969228"/>
      <w:bookmarkStart w:id="401" w:name="_Toc150774638"/>
      <w:bookmarkStart w:id="402" w:name="_Toc150509289"/>
      <w:bookmarkStart w:id="403" w:name="_Toc150774743"/>
      <w:bookmarkStart w:id="404" w:name="_Toc226965728"/>
      <w:bookmarkStart w:id="405" w:name="_Toc150480776"/>
      <w:bookmarkStart w:id="406" w:name="_Toc151193852"/>
      <w:bookmarkStart w:id="407" w:name="_Toc195842903"/>
      <w:bookmarkStart w:id="408" w:name="_Toc151190165"/>
      <w:bookmarkStart w:id="409" w:name="_Toc305158806"/>
      <w:bookmarkStart w:id="410" w:name="_Toc226309782"/>
      <w:bookmarkStart w:id="411" w:name="_Toc305158880"/>
      <w:bookmarkStart w:id="412" w:name="_Toc151193926"/>
      <w:bookmarkStart w:id="413" w:name="_Toc127151538"/>
      <w:bookmarkStart w:id="414" w:name="_Toc520356163"/>
      <w:bookmarkStart w:id="415" w:name="_Toc142311040"/>
      <w:bookmarkStart w:id="416" w:name="_Toc265228376"/>
      <w:bookmarkStart w:id="417" w:name="_Toc151193780"/>
      <w:bookmarkStart w:id="418" w:name="_Toc151193636"/>
      <w:bookmarkStart w:id="419" w:name="_Toc151193708"/>
      <w:r>
        <w:rPr>
          <w:rFonts w:hint="eastAsia" w:ascii="宋体" w:hAnsi="宋体"/>
          <w:b/>
          <w:bCs/>
          <w:color w:val="auto"/>
          <w:sz w:val="28"/>
          <w:szCs w:val="28"/>
          <w:highlight w:val="none"/>
        </w:rPr>
        <w:t xml:space="preserve">五   </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hint="eastAsia" w:ascii="宋体" w:hAnsi="宋体"/>
          <w:b/>
          <w:bCs/>
          <w:color w:val="auto"/>
          <w:sz w:val="28"/>
          <w:szCs w:val="28"/>
          <w:highlight w:val="none"/>
        </w:rPr>
        <w:t>评审</w:t>
      </w:r>
    </w:p>
    <w:p w14:paraId="5130C3F2">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color w:val="auto"/>
          <w:sz w:val="24"/>
          <w:highlight w:val="none"/>
        </w:rPr>
        <w:t>响应文件的</w:t>
      </w:r>
      <w:r>
        <w:rPr>
          <w:rFonts w:hint="eastAsia"/>
          <w:color w:val="auto"/>
          <w:sz w:val="24"/>
          <w:highlight w:val="none"/>
        </w:rPr>
        <w:t>解密与</w:t>
      </w:r>
      <w:r>
        <w:rPr>
          <w:color w:val="auto"/>
          <w:sz w:val="24"/>
          <w:highlight w:val="none"/>
        </w:rPr>
        <w:t>开启</w:t>
      </w:r>
    </w:p>
    <w:p w14:paraId="56DA03BD">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04CE47ED">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78A9EF8A">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供应商不足3家的，不予解密。</w:t>
      </w:r>
    </w:p>
    <w:p w14:paraId="2A5773ED">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本项目不公开报价。</w:t>
      </w:r>
    </w:p>
    <w:p w14:paraId="7807090F">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40F38CF8">
      <w:pPr>
        <w:numPr>
          <w:ilvl w:val="1"/>
          <w:numId w:val="1"/>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5A73DE22">
      <w:pPr>
        <w:numPr>
          <w:ilvl w:val="1"/>
          <w:numId w:val="1"/>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2A1DA89A">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4ED9E526">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1838CE68">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565318F6">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4CF18383">
      <w:pPr>
        <w:tabs>
          <w:tab w:val="left" w:pos="1080"/>
          <w:tab w:val="left" w:pos="2014"/>
        </w:tabs>
        <w:snapToGrid w:val="0"/>
        <w:spacing w:line="360" w:lineRule="auto"/>
        <w:ind w:left="357" w:firstLine="480" w:firstLineChars="200"/>
        <w:rPr>
          <w:rFonts w:hint="eastAsia" w:ascii="宋体" w:hAnsi="宋体" w:cs="宋体"/>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684F12E0">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磋商小组</w:t>
      </w:r>
    </w:p>
    <w:p w14:paraId="3C9416DB">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磋商小组根据政府采购有关规定和本次采购项目的特点进行组建，并负责具体评审事务，独立履行职责。</w:t>
      </w:r>
      <w:bookmarkStart w:id="420" w:name="_Toc520356166"/>
    </w:p>
    <w:p w14:paraId="183DB696">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bookmarkEnd w:id="420"/>
      <w:bookmarkStart w:id="421" w:name="_Toc520356169"/>
    </w:p>
    <w:p w14:paraId="129268F8">
      <w:pPr>
        <w:numPr>
          <w:ilvl w:val="0"/>
          <w:numId w:val="1"/>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评审方法和评审标准</w:t>
      </w:r>
    </w:p>
    <w:p w14:paraId="15D1A8B8">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见第三章《评审方法和评审标准》。</w:t>
      </w:r>
    </w:p>
    <w:p w14:paraId="27425E48">
      <w:pPr>
        <w:snapToGrid w:val="0"/>
        <w:spacing w:line="360" w:lineRule="auto"/>
        <w:jc w:val="center"/>
        <w:rPr>
          <w:rFonts w:hint="eastAsia" w:ascii="宋体" w:hAnsi="宋体"/>
          <w:b/>
          <w:bCs/>
          <w:color w:val="auto"/>
          <w:sz w:val="28"/>
          <w:szCs w:val="28"/>
          <w:highlight w:val="none"/>
        </w:rPr>
      </w:pPr>
    </w:p>
    <w:p w14:paraId="3827B5EA">
      <w:pPr>
        <w:snapToGrid w:val="0"/>
        <w:spacing w:line="360" w:lineRule="auto"/>
        <w:jc w:val="center"/>
        <w:rPr>
          <w:rFonts w:hint="eastAsia" w:ascii="宋体" w:hAnsi="宋体"/>
          <w:b/>
          <w:bCs/>
          <w:color w:val="auto"/>
          <w:sz w:val="28"/>
          <w:szCs w:val="28"/>
          <w:highlight w:val="none"/>
        </w:rPr>
      </w:pPr>
      <w:bookmarkStart w:id="422" w:name="_Toc150774645"/>
      <w:bookmarkStart w:id="423" w:name="_Toc151193643"/>
      <w:bookmarkStart w:id="424" w:name="_Toc151193787"/>
      <w:bookmarkStart w:id="425" w:name="_Toc265228383"/>
      <w:bookmarkStart w:id="426" w:name="_Toc226965735"/>
      <w:bookmarkStart w:id="427" w:name="_Toc151190172"/>
      <w:bookmarkStart w:id="428" w:name="_Toc305158813"/>
      <w:bookmarkStart w:id="429" w:name="_Toc226309789"/>
      <w:bookmarkStart w:id="430" w:name="_Toc151193933"/>
      <w:bookmarkStart w:id="431" w:name="_Toc150480783"/>
      <w:bookmarkStart w:id="432" w:name="_Toc150774750"/>
      <w:bookmarkStart w:id="433" w:name="_Toc142311047"/>
      <w:bookmarkStart w:id="434" w:name="_Toc305158887"/>
      <w:bookmarkStart w:id="435" w:name="_Toc195842910"/>
      <w:bookmarkStart w:id="436" w:name="_Toc226337241"/>
      <w:bookmarkStart w:id="437" w:name="_Toc151193859"/>
      <w:bookmarkStart w:id="438" w:name="_Toc226965818"/>
      <w:bookmarkStart w:id="439" w:name="_Toc150509296"/>
      <w:bookmarkStart w:id="440" w:name="_Toc264969235"/>
      <w:bookmarkStart w:id="441" w:name="_Toc151193715"/>
      <w:bookmarkStart w:id="442" w:name="_Toc127151545"/>
      <w:r>
        <w:rPr>
          <w:rFonts w:hint="eastAsia" w:ascii="宋体" w:hAnsi="宋体"/>
          <w:b/>
          <w:bCs/>
          <w:color w:val="auto"/>
          <w:sz w:val="28"/>
          <w:szCs w:val="28"/>
          <w:highlight w:val="none"/>
        </w:rPr>
        <w:t xml:space="preserve">六   </w:t>
      </w:r>
      <w:bookmarkEnd w:id="421"/>
      <w:r>
        <w:rPr>
          <w:rFonts w:hint="eastAsia" w:ascii="宋体" w:hAnsi="宋体"/>
          <w:b/>
          <w:bCs/>
          <w:color w:val="auto"/>
          <w:sz w:val="28"/>
          <w:szCs w:val="28"/>
          <w:highlight w:val="none"/>
        </w:rPr>
        <w:t>确定</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b/>
          <w:bCs/>
          <w:color w:val="auto"/>
          <w:sz w:val="28"/>
          <w:szCs w:val="28"/>
          <w:highlight w:val="none"/>
        </w:rPr>
        <w:t>成交</w:t>
      </w:r>
    </w:p>
    <w:p w14:paraId="667AAFF7">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443" w:name="_Toc150509298"/>
      <w:bookmarkStart w:id="444" w:name="_Toc164351641"/>
      <w:bookmarkStart w:id="445" w:name="_Toc226965820"/>
      <w:bookmarkStart w:id="446" w:name="_Toc305158889"/>
      <w:bookmarkStart w:id="447" w:name="_Toc151190174"/>
      <w:bookmarkStart w:id="448" w:name="_Toc226309791"/>
      <w:bookmarkStart w:id="449" w:name="_Toc226337243"/>
      <w:bookmarkStart w:id="450" w:name="_Toc151193717"/>
      <w:bookmarkStart w:id="451" w:name="_Toc127161461"/>
      <w:bookmarkStart w:id="452" w:name="_Toc265228385"/>
      <w:bookmarkStart w:id="453" w:name="_Toc150774752"/>
      <w:bookmarkStart w:id="454" w:name="_Toc150480785"/>
      <w:bookmarkStart w:id="455" w:name="_Toc164229388"/>
      <w:bookmarkStart w:id="456" w:name="_Toc151193935"/>
      <w:bookmarkStart w:id="457" w:name="_Toc151193645"/>
      <w:bookmarkStart w:id="458" w:name="_Toc151193861"/>
      <w:bookmarkStart w:id="459" w:name="_Toc305158815"/>
      <w:bookmarkStart w:id="460" w:name="_Toc149720840"/>
      <w:bookmarkStart w:id="461" w:name="_Toc151193789"/>
      <w:bookmarkStart w:id="462" w:name="_Toc195842912"/>
      <w:bookmarkStart w:id="463" w:name="_Toc164608816"/>
      <w:bookmarkStart w:id="464" w:name="_Toc142311049"/>
      <w:bookmarkStart w:id="465" w:name="_Toc164608661"/>
      <w:bookmarkStart w:id="466" w:name="_Toc264969237"/>
      <w:bookmarkStart w:id="467" w:name="_Toc226965737"/>
      <w:bookmarkStart w:id="468" w:name="_Toc127151547"/>
      <w:bookmarkStart w:id="469" w:name="_Toc164229242"/>
      <w:bookmarkStart w:id="470" w:name="_Toc127151748"/>
      <w:bookmarkStart w:id="471" w:name="_Toc150774647"/>
      <w:r>
        <w:rPr>
          <w:rFonts w:hint="eastAsia" w:ascii="宋体" w:hAnsi="宋体" w:cs="宋体"/>
          <w:color w:val="auto"/>
          <w:sz w:val="24"/>
          <w:highlight w:val="none"/>
        </w:rPr>
        <w:t>确定成交供应商</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0BBD8E65">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采购人将在收到评审报告后，从评审报告提出的成交候选供应商中，按照排序由高到低的原则确定成交供应商。成交候选人并列的，由采购人依法确定。</w:t>
      </w:r>
    </w:p>
    <w:p w14:paraId="020C6F3E">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472" w:name="_Toc305158891"/>
      <w:bookmarkStart w:id="473" w:name="_Toc305158817"/>
      <w:bookmarkStart w:id="474" w:name="_Toc164229390"/>
      <w:bookmarkStart w:id="475" w:name="_Toc226337245"/>
      <w:bookmarkStart w:id="476" w:name="_Toc150774754"/>
      <w:bookmarkStart w:id="477" w:name="_Toc150509300"/>
      <w:bookmarkStart w:id="478" w:name="_Toc164608818"/>
      <w:bookmarkStart w:id="479" w:name="_Toc164229244"/>
      <w:bookmarkStart w:id="480" w:name="_Toc151193937"/>
      <w:bookmarkStart w:id="481" w:name="_Toc226965739"/>
      <w:bookmarkStart w:id="482" w:name="_Toc265228387"/>
      <w:bookmarkStart w:id="483" w:name="_Toc226965822"/>
      <w:bookmarkStart w:id="484" w:name="_Toc150480787"/>
      <w:bookmarkStart w:id="485" w:name="_Toc195842914"/>
      <w:bookmarkStart w:id="486" w:name="_Toc151193863"/>
      <w:bookmarkStart w:id="487" w:name="_Toc142311051"/>
      <w:bookmarkStart w:id="488" w:name="_Toc164608663"/>
      <w:bookmarkStart w:id="489" w:name="_Toc127151549"/>
      <w:bookmarkStart w:id="490" w:name="_Toc151193791"/>
      <w:bookmarkStart w:id="491" w:name="_Toc226309793"/>
      <w:bookmarkStart w:id="492" w:name="_Toc149720842"/>
      <w:bookmarkStart w:id="493" w:name="_Toc127151750"/>
      <w:bookmarkStart w:id="494" w:name="_Toc151193647"/>
      <w:bookmarkStart w:id="495" w:name="_Toc151190176"/>
      <w:bookmarkStart w:id="496" w:name="_Toc264969239"/>
      <w:bookmarkStart w:id="497" w:name="_Toc164351643"/>
      <w:bookmarkStart w:id="498" w:name="_Toc150774649"/>
      <w:bookmarkStart w:id="499" w:name="_Toc151193719"/>
      <w:bookmarkStart w:id="500" w:name="_Toc127161463"/>
      <w:bookmarkStart w:id="501" w:name="_Ref467307090"/>
      <w:bookmarkStart w:id="502" w:name="_Toc520356176"/>
      <w:bookmarkStart w:id="503" w:name="_Ref467306425"/>
      <w:r>
        <w:rPr>
          <w:rFonts w:hint="eastAsia" w:ascii="宋体" w:hAnsi="宋体" w:cs="宋体"/>
          <w:color w:val="auto"/>
          <w:sz w:val="24"/>
          <w:highlight w:val="none"/>
        </w:rPr>
        <w:t>成交公告与成交通知书</w:t>
      </w:r>
      <w:bookmarkEnd w:id="472"/>
      <w:bookmarkEnd w:id="473"/>
    </w:p>
    <w:p w14:paraId="321459FE">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采购人或采购代理机构将</w:t>
      </w:r>
      <w:r>
        <w:rPr>
          <w:rFonts w:hint="eastAsia" w:ascii="宋体" w:hAnsi="宋体" w:cs="宋体"/>
          <w:color w:val="auto"/>
          <w:kern w:val="0"/>
          <w:sz w:val="24"/>
          <w:highlight w:val="none"/>
        </w:rPr>
        <w:t>在成交供应商确定后2个工作日内，在</w:t>
      </w:r>
      <w:r>
        <w:rPr>
          <w:rFonts w:hint="eastAsia" w:ascii="宋体" w:hAnsi="宋体" w:cs="宋体"/>
          <w:color w:val="auto"/>
          <w:sz w:val="24"/>
          <w:highlight w:val="none"/>
        </w:rPr>
        <w:t>江苏政府采购网、常州市政府采购网和江苏尚阳工程管理有限公司网</w:t>
      </w:r>
      <w:r>
        <w:rPr>
          <w:rFonts w:hint="eastAsia" w:ascii="宋体" w:hAnsi="宋体" w:cs="宋体"/>
          <w:color w:val="auto"/>
          <w:kern w:val="0"/>
          <w:sz w:val="24"/>
          <w:highlight w:val="none"/>
        </w:rPr>
        <w:t>公告成交结果，同时向成交供应商发出成交通知书，</w:t>
      </w:r>
      <w:r>
        <w:rPr>
          <w:rFonts w:hint="eastAsia" w:ascii="宋体" w:hAnsi="宋体" w:cs="宋体"/>
          <w:color w:val="auto"/>
          <w:sz w:val="24"/>
          <w:highlight w:val="none"/>
        </w:rPr>
        <w:t>成交公告期限为1个工作日。</w:t>
      </w:r>
    </w:p>
    <w:p w14:paraId="51CD2F28">
      <w:pPr>
        <w:numPr>
          <w:ilvl w:val="1"/>
          <w:numId w:val="1"/>
        </w:numPr>
        <w:tabs>
          <w:tab w:val="left" w:pos="1080"/>
          <w:tab w:val="left" w:pos="2014"/>
        </w:tabs>
        <w:snapToGrid w:val="0"/>
        <w:spacing w:line="360" w:lineRule="auto"/>
        <w:ind w:left="1080" w:hanging="720"/>
        <w:rPr>
          <w:rFonts w:hint="eastAsia" w:ascii="宋体" w:hAnsi="宋体" w:cs="宋体"/>
          <w:color w:val="auto"/>
          <w:sz w:val="24"/>
          <w:highlight w:val="none"/>
        </w:rPr>
      </w:pPr>
      <w:r>
        <w:rPr>
          <w:rFonts w:hint="eastAsia" w:ascii="宋体" w:hAnsi="宋体" w:cs="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p>
    <w:p w14:paraId="4796DFC2">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终止</w:t>
      </w:r>
    </w:p>
    <w:p w14:paraId="0212E13C">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在采购中，出现下列情形之一的，采购人或采购代理机构将终止竞争性磋商采购活动，发布项目终止公告并说明原因，重新开展采购活动：</w:t>
      </w:r>
    </w:p>
    <w:p w14:paraId="2957606A">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因情况变化，不再符合规定的竞争性磋商采购方式适用情形的；</w:t>
      </w:r>
    </w:p>
    <w:p w14:paraId="181A7D08">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4B3B6111">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snapToGrid w:val="0"/>
          <w:color w:val="auto"/>
          <w:kern w:val="0"/>
          <w:sz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400795C1">
      <w:pPr>
        <w:numPr>
          <w:ilvl w:val="2"/>
          <w:numId w:val="1"/>
        </w:numPr>
        <w:snapToGrid w:val="0"/>
        <w:spacing w:line="360" w:lineRule="auto"/>
        <w:rPr>
          <w:rFonts w:hint="eastAsia"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7E08D903">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bookmarkStart w:id="504" w:name="_Toc264969240"/>
      <w:bookmarkStart w:id="505" w:name="_Toc127151751"/>
      <w:bookmarkStart w:id="506" w:name="_Toc149720843"/>
      <w:bookmarkStart w:id="507" w:name="_Toc142311052"/>
      <w:bookmarkStart w:id="508" w:name="_Toc195842915"/>
      <w:bookmarkStart w:id="509" w:name="_Toc150509301"/>
      <w:bookmarkStart w:id="510" w:name="_Toc164229245"/>
      <w:bookmarkStart w:id="511" w:name="_Toc151193938"/>
      <w:bookmarkStart w:id="512" w:name="_Toc226337246"/>
      <w:bookmarkStart w:id="513" w:name="_Toc151193720"/>
      <w:bookmarkStart w:id="514" w:name="_Toc151190177"/>
      <w:bookmarkStart w:id="515" w:name="_Ref467306377"/>
      <w:bookmarkStart w:id="516" w:name="_Toc150774755"/>
      <w:bookmarkStart w:id="517" w:name="_Toc226309794"/>
      <w:bookmarkStart w:id="518" w:name="_Toc150480788"/>
      <w:bookmarkStart w:id="519" w:name="_Toc305158892"/>
      <w:bookmarkStart w:id="520" w:name="_Ref467307062"/>
      <w:bookmarkStart w:id="521" w:name="_Toc520356175"/>
      <w:bookmarkStart w:id="522" w:name="_Toc265228388"/>
      <w:bookmarkStart w:id="523" w:name="_Toc164608664"/>
      <w:bookmarkStart w:id="524" w:name="_Ref467306978"/>
      <w:bookmarkStart w:id="525" w:name="_Toc150774650"/>
      <w:bookmarkStart w:id="526" w:name="_Ref467307204"/>
      <w:bookmarkStart w:id="527" w:name="_Toc151193864"/>
      <w:bookmarkStart w:id="528" w:name="_Toc151193792"/>
      <w:bookmarkStart w:id="529" w:name="_Toc164229391"/>
      <w:bookmarkStart w:id="530" w:name="_Toc226965740"/>
      <w:bookmarkStart w:id="531" w:name="_Toc226965823"/>
      <w:bookmarkStart w:id="532" w:name="_Toc164351644"/>
      <w:bookmarkStart w:id="533" w:name="_Toc127161464"/>
      <w:bookmarkStart w:id="534" w:name="_Toc305158818"/>
      <w:bookmarkStart w:id="535" w:name="_Toc164608819"/>
      <w:bookmarkStart w:id="536" w:name="_Toc127151550"/>
      <w:bookmarkStart w:id="537" w:name="_Toc151193648"/>
      <w:r>
        <w:rPr>
          <w:rFonts w:hint="eastAsia" w:ascii="宋体" w:hAnsi="宋体" w:cs="宋体"/>
          <w:color w:val="auto"/>
          <w:sz w:val="24"/>
          <w:highlight w:val="none"/>
        </w:rPr>
        <w:t>签订合同</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347A485E">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采购人与成交供应商将在成交通知书发出之日起30日内，按照磋商文件确定的合同文本以及采购标的、采购金额、采购数量、技术和服务要求等事项签订政府采购合同。</w:t>
      </w:r>
    </w:p>
    <w:p w14:paraId="523716CA">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67218A7">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联合体获得成交资格的，联合体各方应当共同与采购人签订合同，就成交项目向采购人承担连带责任。</w:t>
      </w:r>
    </w:p>
    <w:p w14:paraId="02288D46">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政府采购合同不能转包。</w:t>
      </w:r>
    </w:p>
    <w:p w14:paraId="68C0584C">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本项目是否允许分包，见《供应商须知资料表》。</w:t>
      </w:r>
    </w:p>
    <w:bookmarkEnd w:id="501"/>
    <w:bookmarkEnd w:id="502"/>
    <w:bookmarkEnd w:id="503"/>
    <w:p w14:paraId="36083959">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询问与质疑</w:t>
      </w:r>
    </w:p>
    <w:p w14:paraId="748CDEB9">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询问</w:t>
      </w:r>
    </w:p>
    <w:p w14:paraId="5B4965C7">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供应商对政府采购活动事项有疑问的，可依法提出询问，并按《供应商须知资料表》载明的形式送达采购人或采购代理机构。</w:t>
      </w:r>
    </w:p>
    <w:p w14:paraId="29D265D3">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采购人或采购代理机构对供应商依法提出的询问，在3个工作日内作出答复，但答复的内容不得涉及商业秘密。</w:t>
      </w:r>
    </w:p>
    <w:p w14:paraId="07992406">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质疑</w:t>
      </w:r>
    </w:p>
    <w:p w14:paraId="1907C1E4">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9A5F4C9">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4EAC9C42">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5"/>
          <w:rFonts w:hint="eastAsia" w:ascii="宋体" w:hAnsi="宋体" w:cs="宋体"/>
          <w:color w:val="auto"/>
          <w:sz w:val="24"/>
          <w:highlight w:val="none"/>
        </w:rPr>
        <w:t>http://gk</w:t>
      </w:r>
      <w:bookmarkStart w:id="538" w:name="_Hlt100654014"/>
      <w:r>
        <w:rPr>
          <w:rStyle w:val="15"/>
          <w:rFonts w:hint="eastAsia" w:ascii="宋体" w:hAnsi="宋体" w:cs="宋体"/>
          <w:color w:val="auto"/>
          <w:sz w:val="24"/>
          <w:highlight w:val="none"/>
        </w:rPr>
        <w:t>s</w:t>
      </w:r>
      <w:bookmarkEnd w:id="538"/>
      <w:r>
        <w:rPr>
          <w:rStyle w:val="15"/>
          <w:rFonts w:hint="eastAsia" w:ascii="宋体" w:hAnsi="宋体" w:cs="宋体"/>
          <w:color w:val="auto"/>
          <w:sz w:val="24"/>
          <w:highlight w:val="none"/>
        </w:rPr>
        <w:t>.m</w:t>
      </w:r>
      <w:bookmarkStart w:id="539" w:name="_Hlt100653994"/>
      <w:bookmarkStart w:id="540" w:name="_Hlt100653993"/>
      <w:r>
        <w:rPr>
          <w:rStyle w:val="15"/>
          <w:rFonts w:hint="eastAsia" w:ascii="宋体" w:hAnsi="宋体" w:cs="宋体"/>
          <w:color w:val="auto"/>
          <w:sz w:val="24"/>
          <w:highlight w:val="none"/>
        </w:rPr>
        <w:t>o</w:t>
      </w:r>
      <w:bookmarkEnd w:id="539"/>
      <w:bookmarkEnd w:id="540"/>
      <w:bookmarkStart w:id="541" w:name="_Hlt101169156"/>
      <w:r>
        <w:rPr>
          <w:rStyle w:val="15"/>
          <w:rFonts w:hint="eastAsia" w:ascii="宋体" w:hAnsi="宋体" w:cs="宋体"/>
          <w:color w:val="auto"/>
          <w:sz w:val="24"/>
          <w:highlight w:val="none"/>
        </w:rPr>
        <w:t>f</w:t>
      </w:r>
      <w:bookmarkEnd w:id="541"/>
      <w:r>
        <w:rPr>
          <w:rStyle w:val="15"/>
          <w:rFonts w:hint="eastAsia" w:ascii="宋体" w:hAnsi="宋体" w:cs="宋体"/>
          <w:color w:val="auto"/>
          <w:sz w:val="24"/>
          <w:highlight w:val="none"/>
        </w:rPr>
        <w:t>.gov.cn/ztztz/zhengfucaigouguanli/201802/t20180201_2804589.htm</w:t>
      </w:r>
      <w:r>
        <w:rPr>
          <w:rStyle w:val="15"/>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4EF376A1">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供应商为自然人的，应当由本人签字；供应商为法人或者其他组织的，应当由法定代表人、主要负责人，或者其授权代表签字或者盖章，并加盖公章。</w:t>
      </w:r>
    </w:p>
    <w:p w14:paraId="6D1AD27B">
      <w:pPr>
        <w:numPr>
          <w:ilvl w:val="2"/>
          <w:numId w:val="1"/>
        </w:num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3909AA47">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接收询问和质疑的联系部门、联系电话和通讯地址见《供应商须知资料表》。</w:t>
      </w:r>
    </w:p>
    <w:p w14:paraId="42D6275B">
      <w:pPr>
        <w:numPr>
          <w:ilvl w:val="0"/>
          <w:numId w:val="1"/>
        </w:numPr>
        <w:tabs>
          <w:tab w:val="left" w:pos="360"/>
        </w:tabs>
        <w:snapToGrid w:val="0"/>
        <w:spacing w:line="360" w:lineRule="auto"/>
        <w:ind w:left="357" w:hanging="357"/>
        <w:outlineLvl w:val="1"/>
        <w:rPr>
          <w:rFonts w:hint="eastAsia" w:ascii="宋体" w:hAnsi="宋体" w:cs="宋体"/>
          <w:color w:val="auto"/>
          <w:sz w:val="24"/>
          <w:highlight w:val="none"/>
        </w:rPr>
      </w:pPr>
      <w:r>
        <w:rPr>
          <w:rFonts w:hint="eastAsia" w:ascii="宋体" w:hAnsi="宋体" w:cs="宋体"/>
          <w:color w:val="auto"/>
          <w:sz w:val="24"/>
          <w:highlight w:val="none"/>
        </w:rPr>
        <w:t>代理费</w:t>
      </w:r>
    </w:p>
    <w:p w14:paraId="2CB0A56D">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收费对象、收费标准及缴纳时间见《供应商须知资料表》。由成交供应商支付的，成交供应商须一次性向采购代理机构缴纳代理费，报价应包含代理费用。</w:t>
      </w:r>
    </w:p>
    <w:p w14:paraId="0FC7187F">
      <w:pPr>
        <w:tabs>
          <w:tab w:val="left" w:pos="1080"/>
          <w:tab w:val="left" w:pos="2014"/>
        </w:tabs>
        <w:snapToGrid w:val="0"/>
        <w:spacing w:line="360" w:lineRule="auto"/>
        <w:ind w:left="357"/>
        <w:rPr>
          <w:rFonts w:hint="eastAsia" w:ascii="宋体" w:hAnsi="宋体" w:cs="宋体"/>
          <w:color w:val="auto"/>
          <w:sz w:val="24"/>
          <w:highlight w:val="none"/>
        </w:rPr>
      </w:pPr>
      <w:bookmarkStart w:id="542" w:name="_Toc305158822"/>
      <w:bookmarkStart w:id="543" w:name="_Toc353873664"/>
      <w:bookmarkStart w:id="544" w:name="_Toc264969244"/>
      <w:bookmarkStart w:id="545" w:name="_Toc226337250"/>
      <w:bookmarkStart w:id="546" w:name="_Toc127151554"/>
      <w:bookmarkStart w:id="547" w:name="_Toc150480792"/>
      <w:bookmarkStart w:id="548" w:name="_Toc226965827"/>
      <w:bookmarkStart w:id="549" w:name="_Toc353825544"/>
      <w:bookmarkStart w:id="550" w:name="_Toc353873934"/>
      <w:bookmarkStart w:id="551" w:name="_Toc265228392"/>
      <w:bookmarkStart w:id="552" w:name="_Toc142311056"/>
      <w:bookmarkStart w:id="553" w:name="_Toc150774759"/>
      <w:bookmarkStart w:id="554" w:name="_Toc305158896"/>
    </w:p>
    <w:p w14:paraId="64038811">
      <w:pPr>
        <w:numPr>
          <w:ilvl w:val="1"/>
          <w:numId w:val="1"/>
        </w:numPr>
        <w:tabs>
          <w:tab w:val="left" w:pos="1080"/>
          <w:tab w:val="left" w:pos="2014"/>
        </w:tabs>
        <w:snapToGrid w:val="0"/>
        <w:spacing w:line="360" w:lineRule="auto"/>
        <w:ind w:left="1077" w:hanging="720"/>
        <w:rPr>
          <w:rFonts w:hint="eastAsia" w:ascii="宋体" w:hAnsi="宋体" w:cs="宋体"/>
          <w:color w:val="auto"/>
          <w:sz w:val="24"/>
          <w:highlight w:val="none"/>
        </w:rPr>
        <w:sectPr>
          <w:pgSz w:w="11907" w:h="16840"/>
          <w:pgMar w:top="1440" w:right="1304" w:bottom="1440" w:left="1304" w:header="851" w:footer="851" w:gutter="0"/>
          <w:cols w:space="720" w:num="1"/>
          <w:docGrid w:linePitch="462" w:charSpace="0"/>
        </w:sectPr>
      </w:pPr>
    </w:p>
    <w:p w14:paraId="7687DC66">
      <w:pPr>
        <w:spacing w:line="360" w:lineRule="auto"/>
        <w:jc w:val="center"/>
        <w:outlineLvl w:val="0"/>
        <w:rPr>
          <w:b/>
          <w:color w:val="auto"/>
          <w:sz w:val="36"/>
          <w:szCs w:val="36"/>
          <w:highlight w:val="none"/>
        </w:rPr>
      </w:pPr>
      <w:bookmarkStart w:id="555" w:name="_Toc8164"/>
      <w:r>
        <w:rPr>
          <w:b/>
          <w:color w:val="auto"/>
          <w:sz w:val="36"/>
          <w:szCs w:val="36"/>
          <w:highlight w:val="none"/>
        </w:rPr>
        <w:t xml:space="preserve">第三章   </w:t>
      </w:r>
      <w:bookmarkEnd w:id="542"/>
      <w:bookmarkEnd w:id="543"/>
      <w:bookmarkEnd w:id="544"/>
      <w:bookmarkEnd w:id="545"/>
      <w:bookmarkEnd w:id="546"/>
      <w:bookmarkEnd w:id="547"/>
      <w:bookmarkEnd w:id="548"/>
      <w:bookmarkEnd w:id="549"/>
      <w:bookmarkEnd w:id="550"/>
      <w:bookmarkEnd w:id="551"/>
      <w:bookmarkEnd w:id="552"/>
      <w:bookmarkEnd w:id="553"/>
      <w:bookmarkEnd w:id="554"/>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555"/>
      <w:bookmarkStart w:id="556" w:name="_Toc487900382"/>
    </w:p>
    <w:p w14:paraId="551F284B">
      <w:pPr>
        <w:snapToGrid w:val="0"/>
        <w:spacing w:line="360" w:lineRule="auto"/>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一、评审程序</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p w14:paraId="2759AD2C">
      <w:pPr>
        <w:numPr>
          <w:ilvl w:val="0"/>
          <w:numId w:val="4"/>
        </w:numPr>
        <w:tabs>
          <w:tab w:val="left" w:pos="360"/>
        </w:tabs>
        <w:snapToGrid w:val="0"/>
        <w:spacing w:line="360" w:lineRule="auto"/>
        <w:outlineLvl w:val="1"/>
        <w:rPr>
          <w:rFonts w:hint="eastAsia" w:ascii="宋体" w:hAnsi="宋体" w:cs="宋体"/>
          <w:color w:val="auto"/>
          <w:sz w:val="24"/>
          <w:highlight w:val="none"/>
        </w:rPr>
      </w:pPr>
      <w:bookmarkStart w:id="557" w:name="_Toc151193929"/>
      <w:bookmarkStart w:id="558" w:name="_Toc164351635"/>
      <w:bookmarkStart w:id="559" w:name="_Toc164608810"/>
      <w:bookmarkStart w:id="560" w:name="_Toc226965814"/>
      <w:bookmarkStart w:id="561" w:name="_Toc164229382"/>
      <w:bookmarkStart w:id="562" w:name="_Toc151193783"/>
      <w:bookmarkStart w:id="563" w:name="_Toc226337237"/>
      <w:bookmarkStart w:id="564" w:name="_Toc127151541"/>
      <w:bookmarkStart w:id="565" w:name="_Toc151193855"/>
      <w:bookmarkStart w:id="566" w:name="_Toc150480779"/>
      <w:bookmarkStart w:id="567" w:name="_Toc226965731"/>
      <w:bookmarkStart w:id="568" w:name="_Toc164229236"/>
      <w:bookmarkStart w:id="569" w:name="_Toc195842906"/>
      <w:bookmarkStart w:id="570" w:name="_Toc265228379"/>
      <w:bookmarkStart w:id="571" w:name="_Toc264969231"/>
      <w:bookmarkStart w:id="572" w:name="_Toc127151742"/>
      <w:bookmarkStart w:id="573" w:name="_Toc226309785"/>
      <w:bookmarkStart w:id="574" w:name="_Toc150774641"/>
      <w:bookmarkStart w:id="575" w:name="_Toc150774746"/>
      <w:bookmarkStart w:id="576" w:name="_Toc151190168"/>
      <w:bookmarkStart w:id="577" w:name="_Toc164608655"/>
      <w:bookmarkStart w:id="578" w:name="_Toc142311043"/>
      <w:bookmarkStart w:id="579" w:name="_Toc151193711"/>
      <w:bookmarkStart w:id="580" w:name="_Toc305158883"/>
      <w:bookmarkStart w:id="581" w:name="_Toc151193639"/>
      <w:bookmarkStart w:id="582" w:name="_Toc305158809"/>
      <w:bookmarkStart w:id="583" w:name="_Toc149720834"/>
      <w:bookmarkStart w:id="584" w:name="_Toc127161455"/>
      <w:bookmarkStart w:id="585" w:name="_Toc150509292"/>
      <w:bookmarkStart w:id="586" w:name="_Toc353825551"/>
      <w:bookmarkStart w:id="587" w:name="_Toc353873941"/>
      <w:bookmarkStart w:id="588" w:name="_Toc265228393"/>
      <w:bookmarkStart w:id="589" w:name="_Toc305158897"/>
      <w:bookmarkStart w:id="590" w:name="_Toc127151555"/>
      <w:bookmarkStart w:id="591" w:name="_Toc195842920"/>
      <w:bookmarkStart w:id="592" w:name="_Toc353825545"/>
      <w:bookmarkStart w:id="593" w:name="_Toc226965828"/>
      <w:bookmarkStart w:id="594" w:name="_Toc353873935"/>
      <w:bookmarkStart w:id="595" w:name="_Toc226337251"/>
      <w:bookmarkStart w:id="596" w:name="_Toc142311057"/>
      <w:bookmarkStart w:id="597" w:name="_Toc264969245"/>
      <w:bookmarkStart w:id="598" w:name="_Toc353873665"/>
      <w:bookmarkStart w:id="599" w:name="_Toc305158823"/>
      <w:bookmarkStart w:id="600" w:name="_Toc150480793"/>
      <w:bookmarkStart w:id="601" w:name="_Toc150774760"/>
      <w:r>
        <w:rPr>
          <w:rFonts w:hint="eastAsia" w:ascii="宋体" w:hAnsi="宋体" w:cs="宋体"/>
          <w:color w:val="auto"/>
          <w:sz w:val="24"/>
          <w:highlight w:val="none"/>
        </w:rPr>
        <w:t>响应文件的</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cs="宋体"/>
          <w:color w:val="auto"/>
          <w:sz w:val="24"/>
          <w:highlight w:val="none"/>
        </w:rPr>
        <w:t>资格性检查和符合性审查</w:t>
      </w:r>
    </w:p>
    <w:p w14:paraId="3655485A">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无效响应</w:t>
      </w:r>
      <w:r>
        <w:rPr>
          <w:rFonts w:hint="eastAsia" w:ascii="宋体" w:hAnsi="宋体" w:cs="宋体"/>
          <w:color w:val="auto"/>
          <w:sz w:val="24"/>
          <w:highlight w:val="none"/>
        </w:rPr>
        <w:t>处理，磋商小组应当告知提交响应文件的供应商。</w:t>
      </w:r>
    </w:p>
    <w:p w14:paraId="00C57699">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《资格性检查要求》中对格式有要求的，除竞争性磋商文件另有规定外，均为“实质性格式”文件。</w:t>
      </w:r>
    </w:p>
    <w:p w14:paraId="32636D27">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《资格性检查要求》见下表：</w:t>
      </w:r>
    </w:p>
    <w:p w14:paraId="2B5F3308">
      <w:pPr>
        <w:tabs>
          <w:tab w:val="left" w:pos="900"/>
          <w:tab w:val="left" w:pos="1080"/>
          <w:tab w:val="left" w:pos="1447"/>
        </w:tabs>
        <w:snapToGrid w:val="0"/>
        <w:spacing w:line="360" w:lineRule="auto"/>
        <w:jc w:val="center"/>
        <w:rPr>
          <w:b/>
          <w:color w:val="auto"/>
          <w:sz w:val="24"/>
          <w:highlight w:val="none"/>
        </w:rPr>
      </w:pPr>
      <w:r>
        <w:rPr>
          <w:b/>
          <w:color w:val="auto"/>
          <w:sz w:val="24"/>
          <w:highlight w:val="none"/>
        </w:rPr>
        <w:t>资格性检查要求</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1C0CF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40" w:type="dxa"/>
            <w:vAlign w:val="center"/>
          </w:tcPr>
          <w:p w14:paraId="7E359248">
            <w:pPr>
              <w:tabs>
                <w:tab w:val="left" w:pos="1080"/>
              </w:tabs>
              <w:snapToGrid w:val="0"/>
              <w:jc w:val="center"/>
              <w:rPr>
                <w:rFonts w:hint="eastAsia" w:ascii="宋体" w:hAnsi="宋体" w:cs="宋体"/>
                <w:b/>
                <w:color w:val="auto"/>
                <w:sz w:val="24"/>
                <w:highlight w:val="none"/>
              </w:rPr>
            </w:pPr>
            <w:bookmarkStart w:id="602" w:name="_Hlt487972895"/>
            <w:bookmarkEnd w:id="602"/>
            <w:r>
              <w:rPr>
                <w:rFonts w:hint="eastAsia" w:ascii="宋体" w:hAnsi="宋体" w:cs="宋体"/>
                <w:b/>
                <w:color w:val="auto"/>
                <w:sz w:val="24"/>
                <w:highlight w:val="none"/>
              </w:rPr>
              <w:t>序号</w:t>
            </w:r>
          </w:p>
        </w:tc>
        <w:tc>
          <w:tcPr>
            <w:tcW w:w="1728" w:type="dxa"/>
            <w:vAlign w:val="center"/>
          </w:tcPr>
          <w:p w14:paraId="6839CA94">
            <w:pPr>
              <w:tabs>
                <w:tab w:val="left" w:pos="1080"/>
              </w:tabs>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审查因素</w:t>
            </w:r>
          </w:p>
        </w:tc>
        <w:tc>
          <w:tcPr>
            <w:tcW w:w="4494" w:type="dxa"/>
            <w:vAlign w:val="center"/>
          </w:tcPr>
          <w:p w14:paraId="0C1D8016">
            <w:pPr>
              <w:tabs>
                <w:tab w:val="left" w:pos="1080"/>
              </w:tabs>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审查内容</w:t>
            </w:r>
          </w:p>
        </w:tc>
        <w:tc>
          <w:tcPr>
            <w:tcW w:w="1660" w:type="dxa"/>
            <w:vAlign w:val="center"/>
          </w:tcPr>
          <w:p w14:paraId="62C78A2E">
            <w:pPr>
              <w:tabs>
                <w:tab w:val="left" w:pos="1080"/>
              </w:tabs>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格式要求</w:t>
            </w:r>
          </w:p>
        </w:tc>
      </w:tr>
      <w:tr w14:paraId="02CF5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39706075">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728" w:type="dxa"/>
            <w:vAlign w:val="center"/>
          </w:tcPr>
          <w:p w14:paraId="273145F1">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满足《中华人民共和国政府采购法》第二十二条规定及法律法规的其他规定</w:t>
            </w:r>
          </w:p>
        </w:tc>
        <w:tc>
          <w:tcPr>
            <w:tcW w:w="4494" w:type="dxa"/>
            <w:vAlign w:val="center"/>
          </w:tcPr>
          <w:p w14:paraId="2854F56F">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具体规定见第一章《采购邀请》</w:t>
            </w:r>
          </w:p>
        </w:tc>
        <w:tc>
          <w:tcPr>
            <w:tcW w:w="1660" w:type="dxa"/>
            <w:vAlign w:val="center"/>
          </w:tcPr>
          <w:p w14:paraId="5E5876B8">
            <w:pPr>
              <w:tabs>
                <w:tab w:val="left" w:pos="1080"/>
              </w:tabs>
              <w:snapToGrid w:val="0"/>
              <w:rPr>
                <w:rFonts w:hint="eastAsia" w:ascii="宋体" w:hAnsi="宋体" w:cs="宋体"/>
                <w:color w:val="auto"/>
                <w:sz w:val="24"/>
                <w:highlight w:val="none"/>
              </w:rPr>
            </w:pPr>
          </w:p>
        </w:tc>
      </w:tr>
      <w:tr w14:paraId="2C73D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vAlign w:val="center"/>
          </w:tcPr>
          <w:p w14:paraId="66654240">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1728" w:type="dxa"/>
            <w:vAlign w:val="center"/>
          </w:tcPr>
          <w:p w14:paraId="55AB8BFC">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供应商资格声明函</w:t>
            </w:r>
          </w:p>
        </w:tc>
        <w:tc>
          <w:tcPr>
            <w:tcW w:w="4494" w:type="dxa"/>
            <w:vAlign w:val="center"/>
          </w:tcPr>
          <w:p w14:paraId="31262142">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提供了符合采购文件要求的《供应商资格声明函》。</w:t>
            </w:r>
          </w:p>
        </w:tc>
        <w:tc>
          <w:tcPr>
            <w:tcW w:w="1660" w:type="dxa"/>
            <w:vAlign w:val="center"/>
          </w:tcPr>
          <w:p w14:paraId="1ED6AB3C">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格式见《响应文件格式》</w:t>
            </w:r>
          </w:p>
        </w:tc>
      </w:tr>
      <w:tr w14:paraId="46088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72127EB6">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1728" w:type="dxa"/>
            <w:vAlign w:val="center"/>
          </w:tcPr>
          <w:p w14:paraId="4A93FF82">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供应商信用记录</w:t>
            </w:r>
          </w:p>
        </w:tc>
        <w:tc>
          <w:tcPr>
            <w:tcW w:w="4494" w:type="dxa"/>
            <w:vAlign w:val="center"/>
          </w:tcPr>
          <w:p w14:paraId="2ABDED94">
            <w:pPr>
              <w:tabs>
                <w:tab w:val="left" w:pos="900"/>
                <w:tab w:val="left" w:pos="1980"/>
              </w:tabs>
              <w:snapToGrid w:val="0"/>
              <w:rPr>
                <w:rFonts w:hint="eastAsia" w:ascii="宋体" w:hAnsi="宋体" w:cs="宋体"/>
                <w:color w:val="auto"/>
                <w:sz w:val="24"/>
                <w:highlight w:val="none"/>
              </w:rPr>
            </w:pPr>
            <w:r>
              <w:rPr>
                <w:rFonts w:hint="eastAsia" w:ascii="宋体" w:hAnsi="宋体" w:cs="宋体"/>
                <w:color w:val="auto"/>
                <w:sz w:val="24"/>
                <w:highlight w:val="none"/>
              </w:rPr>
              <w:t>查询渠道：信用中国网站和中国政府采购网（www.creditchina.gov.cn、www.ccgp.gov.cn）；</w:t>
            </w:r>
          </w:p>
          <w:p w14:paraId="535007F4">
            <w:pPr>
              <w:tabs>
                <w:tab w:val="left" w:pos="900"/>
                <w:tab w:val="left" w:pos="1980"/>
              </w:tabs>
              <w:snapToGrid w:val="0"/>
              <w:rPr>
                <w:rFonts w:hint="eastAsia" w:ascii="宋体" w:hAnsi="宋体" w:cs="宋体"/>
                <w:color w:val="auto"/>
                <w:sz w:val="24"/>
                <w:highlight w:val="none"/>
              </w:rPr>
            </w:pPr>
            <w:r>
              <w:rPr>
                <w:rFonts w:hint="eastAsia" w:ascii="宋体" w:hAnsi="宋体" w:cs="宋体"/>
                <w:color w:val="auto"/>
                <w:sz w:val="24"/>
                <w:highlight w:val="none"/>
              </w:rPr>
              <w:t>截止时点：提交响应文件截止时间以后、资格审查阶段采购人或采购代理机构的实际查询时间；</w:t>
            </w:r>
          </w:p>
          <w:p w14:paraId="404DF687">
            <w:pPr>
              <w:tabs>
                <w:tab w:val="left" w:pos="900"/>
                <w:tab w:val="left" w:pos="1980"/>
              </w:tabs>
              <w:snapToGrid w:val="0"/>
              <w:rPr>
                <w:rFonts w:hint="eastAsia" w:ascii="宋体" w:hAnsi="宋体" w:cs="宋体"/>
                <w:color w:val="auto"/>
                <w:sz w:val="24"/>
                <w:highlight w:val="none"/>
              </w:rPr>
            </w:pPr>
            <w:r>
              <w:rPr>
                <w:rFonts w:hint="eastAsia" w:ascii="宋体" w:hAnsi="宋体" w:cs="宋体"/>
                <w:color w:val="auto"/>
                <w:sz w:val="24"/>
                <w:highlight w:val="none"/>
              </w:rPr>
              <w:t>信用信息查询记录和证据留存具体方式：查询结果网页打印页作为查询记录和证据，与其他采购文件一并保存；</w:t>
            </w:r>
          </w:p>
          <w:p w14:paraId="09F77F8C">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tc>
        <w:tc>
          <w:tcPr>
            <w:tcW w:w="1660" w:type="dxa"/>
            <w:vAlign w:val="center"/>
          </w:tcPr>
          <w:p w14:paraId="76E4E3EA">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无须供应商提供，由采购人查询。</w:t>
            </w:r>
          </w:p>
        </w:tc>
      </w:tr>
      <w:tr w14:paraId="454B2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4F69FC6E">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728" w:type="dxa"/>
            <w:vAlign w:val="center"/>
          </w:tcPr>
          <w:p w14:paraId="3005F44F">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落实政府采购政策需满足的资格要求</w:t>
            </w:r>
          </w:p>
        </w:tc>
        <w:tc>
          <w:tcPr>
            <w:tcW w:w="4494" w:type="dxa"/>
            <w:vAlign w:val="center"/>
          </w:tcPr>
          <w:p w14:paraId="6F7A4733">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具体要求见第一章《采购邀请》</w:t>
            </w:r>
          </w:p>
        </w:tc>
        <w:tc>
          <w:tcPr>
            <w:tcW w:w="1660" w:type="dxa"/>
            <w:vAlign w:val="center"/>
          </w:tcPr>
          <w:p w14:paraId="410A5AD3">
            <w:pPr>
              <w:tabs>
                <w:tab w:val="left" w:pos="1080"/>
              </w:tabs>
              <w:snapToGrid w:val="0"/>
              <w:rPr>
                <w:rFonts w:hint="eastAsia" w:ascii="宋体" w:hAnsi="宋体" w:cs="宋体"/>
                <w:color w:val="auto"/>
                <w:sz w:val="24"/>
                <w:highlight w:val="none"/>
              </w:rPr>
            </w:pPr>
          </w:p>
        </w:tc>
      </w:tr>
      <w:tr w14:paraId="1A463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704AEE33">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2-1</w:t>
            </w:r>
          </w:p>
        </w:tc>
        <w:tc>
          <w:tcPr>
            <w:tcW w:w="1728" w:type="dxa"/>
            <w:vAlign w:val="center"/>
          </w:tcPr>
          <w:p w14:paraId="05A119AF">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中小企业声明函</w:t>
            </w:r>
          </w:p>
        </w:tc>
        <w:tc>
          <w:tcPr>
            <w:tcW w:w="4494" w:type="dxa"/>
            <w:vAlign w:val="center"/>
          </w:tcPr>
          <w:p w14:paraId="10630B7F">
            <w:pPr>
              <w:tabs>
                <w:tab w:val="left" w:pos="1080"/>
              </w:tabs>
              <w:snapToGrid w:val="0"/>
              <w:rPr>
                <w:rFonts w:hint="eastAsia" w:ascii="宋体" w:hAnsi="宋体" w:cs="宋体"/>
                <w:bCs/>
                <w:color w:val="auto"/>
                <w:sz w:val="24"/>
                <w:highlight w:val="none"/>
              </w:rPr>
            </w:pPr>
            <w:r>
              <w:rPr>
                <w:rFonts w:hint="eastAsia" w:ascii="宋体" w:hAnsi="宋体" w:cs="宋体"/>
                <w:bCs/>
                <w:color w:val="auto"/>
                <w:sz w:val="24"/>
                <w:highlight w:val="none"/>
              </w:rPr>
              <w:t>供应商单独参与磋商的，应提供中小企业声明函；如为监狱企业或残疾人福利性单位，不必提供中小企业声明函，但须按注1或注2要求提供证明材料。</w:t>
            </w:r>
          </w:p>
          <w:p w14:paraId="42BCAE19">
            <w:pPr>
              <w:tabs>
                <w:tab w:val="left" w:pos="1080"/>
              </w:tabs>
              <w:snapToGrid w:val="0"/>
              <w:rPr>
                <w:rFonts w:hint="eastAsia"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5B6FE04E">
            <w:pPr>
              <w:tabs>
                <w:tab w:val="left" w:pos="1080"/>
              </w:tabs>
              <w:snapToGrid w:val="0"/>
              <w:rPr>
                <w:rFonts w:hint="eastAsia" w:ascii="宋体" w:hAnsi="宋体" w:cs="宋体"/>
                <w:color w:val="auto"/>
                <w:sz w:val="24"/>
                <w:highlight w:val="none"/>
              </w:rPr>
            </w:pPr>
            <w:r>
              <w:rPr>
                <w:rFonts w:hint="eastAsia" w:ascii="宋体" w:hAnsi="宋体" w:cs="宋体"/>
                <w:bCs/>
                <w:color w:val="auto"/>
                <w:sz w:val="24"/>
                <w:highlight w:val="none"/>
              </w:rPr>
              <w:t>注2：残疾人福利性单位须按磋商文件要求提供《残疾人福利性单位声明函》。</w:t>
            </w:r>
          </w:p>
        </w:tc>
        <w:tc>
          <w:tcPr>
            <w:tcW w:w="1660" w:type="dxa"/>
            <w:vAlign w:val="center"/>
          </w:tcPr>
          <w:p w14:paraId="6DFCE766">
            <w:pPr>
              <w:tabs>
                <w:tab w:val="left" w:pos="1080"/>
              </w:tabs>
              <w:snapToGrid w:val="0"/>
              <w:rPr>
                <w:rFonts w:hint="eastAsia" w:ascii="宋体" w:hAnsi="宋体" w:cs="宋体"/>
                <w:color w:val="auto"/>
                <w:sz w:val="24"/>
                <w:highlight w:val="none"/>
              </w:rPr>
            </w:pPr>
            <w:r>
              <w:rPr>
                <w:rFonts w:hint="eastAsia" w:ascii="宋体" w:hAnsi="宋体" w:cs="宋体"/>
                <w:color w:val="auto"/>
                <w:sz w:val="24"/>
                <w:highlight w:val="none"/>
              </w:rPr>
              <w:t>格式见《响应文件格式》</w:t>
            </w:r>
          </w:p>
        </w:tc>
      </w:tr>
      <w:tr w14:paraId="29CC8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12B15554">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728" w:type="dxa"/>
            <w:vAlign w:val="center"/>
          </w:tcPr>
          <w:p w14:paraId="38233ED9">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本项目的特定资格要求</w:t>
            </w:r>
          </w:p>
        </w:tc>
        <w:tc>
          <w:tcPr>
            <w:tcW w:w="4494" w:type="dxa"/>
            <w:vAlign w:val="center"/>
          </w:tcPr>
          <w:p w14:paraId="3B2EE1AD">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见第一章《采购邀请》</w:t>
            </w:r>
          </w:p>
        </w:tc>
        <w:tc>
          <w:tcPr>
            <w:tcW w:w="1660" w:type="dxa"/>
            <w:vAlign w:val="center"/>
          </w:tcPr>
          <w:p w14:paraId="10947155">
            <w:pPr>
              <w:tabs>
                <w:tab w:val="left" w:pos="1080"/>
              </w:tabs>
              <w:snapToGrid w:val="0"/>
              <w:jc w:val="center"/>
              <w:rPr>
                <w:rFonts w:hint="eastAsia" w:ascii="宋体" w:hAnsi="宋体" w:cs="宋体"/>
                <w:color w:val="auto"/>
                <w:sz w:val="24"/>
                <w:highlight w:val="none"/>
              </w:rPr>
            </w:pPr>
          </w:p>
        </w:tc>
      </w:tr>
      <w:tr w14:paraId="54E6F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vAlign w:val="center"/>
          </w:tcPr>
          <w:p w14:paraId="26958ADA">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3-1</w:t>
            </w:r>
          </w:p>
        </w:tc>
        <w:tc>
          <w:tcPr>
            <w:tcW w:w="1728" w:type="dxa"/>
            <w:vAlign w:val="center"/>
          </w:tcPr>
          <w:p w14:paraId="51FC8C5C">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其他特定资格要求</w:t>
            </w:r>
          </w:p>
        </w:tc>
        <w:tc>
          <w:tcPr>
            <w:tcW w:w="4494" w:type="dxa"/>
            <w:vAlign w:val="center"/>
          </w:tcPr>
          <w:p w14:paraId="60A183FB">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见第一章《采购邀请》</w:t>
            </w:r>
          </w:p>
        </w:tc>
        <w:tc>
          <w:tcPr>
            <w:tcW w:w="1660" w:type="dxa"/>
            <w:vAlign w:val="center"/>
          </w:tcPr>
          <w:p w14:paraId="2F5116DE">
            <w:pPr>
              <w:tabs>
                <w:tab w:val="left" w:pos="1080"/>
              </w:tabs>
              <w:snapToGrid w:val="0"/>
              <w:jc w:val="center"/>
              <w:rPr>
                <w:rFonts w:hint="eastAsia" w:ascii="宋体" w:hAnsi="宋体" w:cs="宋体"/>
                <w:color w:val="auto"/>
                <w:sz w:val="24"/>
                <w:highlight w:val="none"/>
              </w:rPr>
            </w:pPr>
            <w:r>
              <w:rPr>
                <w:rFonts w:hint="eastAsia" w:ascii="宋体" w:hAnsi="宋体" w:cs="宋体"/>
                <w:color w:val="auto"/>
                <w:sz w:val="24"/>
                <w:highlight w:val="none"/>
              </w:rPr>
              <w:t>提供</w:t>
            </w:r>
            <w:r>
              <w:rPr>
                <w:color w:val="auto"/>
                <w:sz w:val="24"/>
                <w:highlight w:val="none"/>
              </w:rPr>
              <w:t>电子件</w:t>
            </w:r>
            <w:r>
              <w:rPr>
                <w:rFonts w:hint="eastAsia" w:ascii="宋体" w:hAnsi="宋体" w:cs="宋体"/>
                <w:color w:val="auto"/>
                <w:sz w:val="24"/>
                <w:highlight w:val="none"/>
              </w:rPr>
              <w:t>加盖供应商公章</w:t>
            </w:r>
          </w:p>
        </w:tc>
      </w:tr>
    </w:tbl>
    <w:p w14:paraId="3CC1CCAF">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《符合性审查要求》见下表：</w:t>
      </w:r>
    </w:p>
    <w:p w14:paraId="71D629A4">
      <w:pPr>
        <w:tabs>
          <w:tab w:val="left" w:pos="900"/>
          <w:tab w:val="left" w:pos="1080"/>
          <w:tab w:val="left" w:pos="1447"/>
        </w:tabs>
        <w:snapToGrid w:val="0"/>
        <w:spacing w:line="360" w:lineRule="auto"/>
        <w:jc w:val="center"/>
        <w:rPr>
          <w:b/>
          <w:color w:val="auto"/>
          <w:sz w:val="24"/>
          <w:highlight w:val="none"/>
        </w:rPr>
      </w:pPr>
      <w:r>
        <w:rPr>
          <w:b/>
          <w:color w:val="auto"/>
          <w:sz w:val="24"/>
          <w:highlight w:val="none"/>
        </w:rPr>
        <w:t>符合性审查要求</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2"/>
        <w:gridCol w:w="1459"/>
        <w:gridCol w:w="6288"/>
      </w:tblGrid>
      <w:tr w14:paraId="3F6A4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40087123">
            <w:pPr>
              <w:widowControl/>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856" w:type="pct"/>
            <w:vAlign w:val="center"/>
          </w:tcPr>
          <w:p w14:paraId="1EE92F99">
            <w:pPr>
              <w:widowControl/>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审查因素</w:t>
            </w:r>
          </w:p>
        </w:tc>
        <w:tc>
          <w:tcPr>
            <w:tcW w:w="3690" w:type="pct"/>
            <w:vAlign w:val="center"/>
          </w:tcPr>
          <w:p w14:paraId="72D3B8ED">
            <w:pPr>
              <w:widowControl/>
              <w:spacing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审查内容</w:t>
            </w:r>
          </w:p>
        </w:tc>
      </w:tr>
      <w:tr w14:paraId="3A0FB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6C0DE29E">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56" w:type="pct"/>
            <w:vAlign w:val="center"/>
          </w:tcPr>
          <w:p w14:paraId="6BBBB4F1">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响应函、法定代表人资格证明书和政府采购供应商信用承诺书</w:t>
            </w:r>
          </w:p>
        </w:tc>
        <w:tc>
          <w:tcPr>
            <w:tcW w:w="3690" w:type="pct"/>
            <w:vAlign w:val="center"/>
          </w:tcPr>
          <w:p w14:paraId="1B1970F9">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按磋商文件要求提供响应函、法定代表人资格证明书、政府采购供应商信用承诺书；</w:t>
            </w:r>
          </w:p>
        </w:tc>
      </w:tr>
      <w:tr w14:paraId="0E971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080C22C6">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56" w:type="pct"/>
            <w:vAlign w:val="center"/>
          </w:tcPr>
          <w:p w14:paraId="549EC8D7">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响应完整性</w:t>
            </w:r>
          </w:p>
        </w:tc>
        <w:tc>
          <w:tcPr>
            <w:tcW w:w="3690" w:type="pct"/>
            <w:vAlign w:val="center"/>
          </w:tcPr>
          <w:p w14:paraId="6A8BC1CF">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未将一个采购项目中的内容拆开响应；</w:t>
            </w:r>
          </w:p>
        </w:tc>
      </w:tr>
      <w:tr w14:paraId="23B24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5640A466">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856" w:type="pct"/>
            <w:vAlign w:val="center"/>
          </w:tcPr>
          <w:p w14:paraId="08EFD29F">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响应报价</w:t>
            </w:r>
          </w:p>
        </w:tc>
        <w:tc>
          <w:tcPr>
            <w:tcW w:w="3690" w:type="pct"/>
            <w:vAlign w:val="center"/>
          </w:tcPr>
          <w:p w14:paraId="736FD103">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响应报价未超过磋商文件中规定的项目预算金额或者项目最高限价或控制价或控制价单价限价；</w:t>
            </w:r>
          </w:p>
        </w:tc>
      </w:tr>
      <w:tr w14:paraId="3818F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08C9A12D">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856" w:type="pct"/>
            <w:vAlign w:val="center"/>
          </w:tcPr>
          <w:p w14:paraId="3A38E90E">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报价唯一性</w:t>
            </w:r>
          </w:p>
        </w:tc>
        <w:tc>
          <w:tcPr>
            <w:tcW w:w="3690" w:type="pct"/>
            <w:vAlign w:val="center"/>
          </w:tcPr>
          <w:p w14:paraId="34519049">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w:t>
            </w:r>
          </w:p>
        </w:tc>
      </w:tr>
      <w:tr w14:paraId="4FCEF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31D39E1C">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56" w:type="pct"/>
            <w:vAlign w:val="center"/>
          </w:tcPr>
          <w:p w14:paraId="1E65668D">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响应有效期</w:t>
            </w:r>
          </w:p>
        </w:tc>
        <w:tc>
          <w:tcPr>
            <w:tcW w:w="3690" w:type="pct"/>
            <w:vAlign w:val="center"/>
          </w:tcPr>
          <w:p w14:paraId="331BE28D">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2085C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5317DEA2">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56" w:type="pct"/>
            <w:vAlign w:val="center"/>
          </w:tcPr>
          <w:p w14:paraId="55C4E0B1">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签署、加盖公章</w:t>
            </w:r>
          </w:p>
        </w:tc>
        <w:tc>
          <w:tcPr>
            <w:tcW w:w="3690" w:type="pct"/>
            <w:vAlign w:val="center"/>
          </w:tcPr>
          <w:p w14:paraId="7CECB918">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088FB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46931B6B">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56" w:type="pct"/>
            <w:vAlign w:val="center"/>
          </w:tcPr>
          <w:p w14:paraId="148FA93F">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实质性格式</w:t>
            </w:r>
          </w:p>
        </w:tc>
        <w:tc>
          <w:tcPr>
            <w:tcW w:w="3690" w:type="pct"/>
            <w:vAlign w:val="center"/>
          </w:tcPr>
          <w:p w14:paraId="665C9367">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75A47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72" w:type="dxa"/>
            <w:vAlign w:val="center"/>
          </w:tcPr>
          <w:p w14:paraId="0C247D3F">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459" w:type="dxa"/>
            <w:vAlign w:val="center"/>
          </w:tcPr>
          <w:p w14:paraId="6EE58D96">
            <w:pPr>
              <w:widowControl/>
              <w:jc w:val="left"/>
              <w:rPr>
                <w:rFonts w:hint="eastAsia" w:ascii="宋体" w:hAnsi="宋体" w:cs="宋体"/>
                <w:color w:val="auto"/>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6288" w:type="dxa"/>
            <w:vAlign w:val="center"/>
          </w:tcPr>
          <w:p w14:paraId="77759A11">
            <w:pPr>
              <w:widowControl/>
              <w:jc w:val="left"/>
              <w:rPr>
                <w:rFonts w:hint="eastAsia" w:ascii="宋体" w:hAnsi="宋体" w:cs="宋体"/>
                <w:color w:val="auto"/>
                <w:sz w:val="24"/>
                <w:highlight w:val="none"/>
              </w:rPr>
            </w:pPr>
            <w:r>
              <w:rPr>
                <w:color w:val="auto"/>
                <w:kern w:val="0"/>
                <w:sz w:val="24"/>
                <w:highlight w:val="none"/>
              </w:rPr>
              <w:t>响应文件满足磋商文件</w:t>
            </w:r>
            <w:r>
              <w:rPr>
                <w:color w:val="auto"/>
                <w:sz w:val="24"/>
                <w:highlight w:val="none"/>
              </w:rPr>
              <w:t>第</w:t>
            </w:r>
            <w:r>
              <w:rPr>
                <w:rFonts w:hint="eastAsia"/>
                <w:color w:val="auto"/>
                <w:sz w:val="24"/>
                <w:highlight w:val="none"/>
              </w:rPr>
              <w:t>四</w:t>
            </w:r>
            <w:r>
              <w:rPr>
                <w:color w:val="auto"/>
                <w:sz w:val="24"/>
                <w:highlight w:val="none"/>
              </w:rPr>
              <w:t>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79DC3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40A876F9">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56" w:type="pct"/>
            <w:vAlign w:val="center"/>
          </w:tcPr>
          <w:p w14:paraId="19E8F292">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报价的修正</w:t>
            </w:r>
          </w:p>
        </w:tc>
        <w:tc>
          <w:tcPr>
            <w:tcW w:w="3690" w:type="pct"/>
            <w:vAlign w:val="center"/>
          </w:tcPr>
          <w:p w14:paraId="18AE82CA">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响应文件报价出现前后不一致时，供应商对修正后的报价予以确认。</w:t>
            </w:r>
          </w:p>
        </w:tc>
      </w:tr>
      <w:tr w14:paraId="133F6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1066EA49">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856" w:type="pct"/>
            <w:vAlign w:val="center"/>
          </w:tcPr>
          <w:p w14:paraId="5736AFE2">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报价合理性</w:t>
            </w:r>
          </w:p>
        </w:tc>
        <w:tc>
          <w:tcPr>
            <w:tcW w:w="3690" w:type="pct"/>
            <w:vAlign w:val="center"/>
          </w:tcPr>
          <w:p w14:paraId="6806683C">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报价合理，或供应商的报价明显低于其他通过符合性审查供应商的报价，有可能影响服务质量或者不能诚信履约的，能够应磋商小组要求在规定时间内证明其报价合理性的。</w:t>
            </w:r>
          </w:p>
          <w:p w14:paraId="58D9BEA8">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按照财库〔2026〕2号《关于推动解决政府采购异常低价问题的通知》要求：</w:t>
            </w:r>
          </w:p>
          <w:p w14:paraId="34740C59">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（一）政府采购评审中出现下列情形之一的，评审委员会应当启动异常低价投标（响应）审查程序：</w:t>
            </w:r>
          </w:p>
          <w:p w14:paraId="630A7996">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1.投标（响应）报价低于全部通过符合性审查供应商投标（响应）报价平均值50%的，即投标（响应）报价&lt;全部通过符合性审查供应商投标（响应）报价平均值×50%；</w:t>
            </w:r>
          </w:p>
          <w:p w14:paraId="23E765BB">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2.投标（响应）报价低于通过符合性审查的次低报价供应商投标（响应）报价50%的，即投标（响应）报价&lt;通过符合性审查的次低报价供应商投标（响应）报价×50%；</w:t>
            </w:r>
          </w:p>
          <w:p w14:paraId="7F368288">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3.投标（响应）报价低于采购项目最高限价45%的，即投标（响应）报价&lt;采购项目最高限价×45%；</w:t>
            </w:r>
          </w:p>
          <w:p w14:paraId="693AA62C">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4.评审委员会基于专业判断，认为供应商报价过低，有可能影响产品质量或者不能诚信履约的其他情形。</w:t>
            </w:r>
          </w:p>
          <w:p w14:paraId="0A05CF1D">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E738F2">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80523E">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5DFBC16">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tc>
      </w:tr>
      <w:tr w14:paraId="3CE48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0374D043">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56" w:type="pct"/>
            <w:vAlign w:val="center"/>
          </w:tcPr>
          <w:p w14:paraId="3366535D">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公平竞争</w:t>
            </w:r>
          </w:p>
        </w:tc>
        <w:tc>
          <w:tcPr>
            <w:tcW w:w="3690" w:type="pct"/>
            <w:vAlign w:val="center"/>
          </w:tcPr>
          <w:p w14:paraId="7798D306">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4875F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274A37C3">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856" w:type="pct"/>
            <w:vAlign w:val="center"/>
          </w:tcPr>
          <w:p w14:paraId="654A0E80">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串通响应</w:t>
            </w:r>
          </w:p>
        </w:tc>
        <w:tc>
          <w:tcPr>
            <w:tcW w:w="3690" w:type="pct"/>
            <w:vAlign w:val="center"/>
          </w:tcPr>
          <w:p w14:paraId="651B3C75">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w:t>
            </w:r>
          </w:p>
          <w:p w14:paraId="60EB4D49">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（一）不同供应商的响应文件由同一单位或者个人编制（包含使用同一MAC地址的计算机制作电子响应文件的情形）；</w:t>
            </w:r>
          </w:p>
          <w:p w14:paraId="3E00E23B">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（二）不同供应商委托同一单位或者个人办理响应事宜（包含使用同一MAC地址的计算机提交或者解密电子响应文件的情形）；</w:t>
            </w:r>
          </w:p>
          <w:p w14:paraId="42F3BCD0">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（三）不同供应商的响应文件载明的项目管理成员或者联系人员为同一人；</w:t>
            </w:r>
          </w:p>
          <w:p w14:paraId="1B9F4710">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（四）不同供应商的响应文件异常一致或者响应报价呈规律性差异；</w:t>
            </w:r>
          </w:p>
        </w:tc>
      </w:tr>
      <w:tr w14:paraId="6389A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71E86CD5">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856" w:type="pct"/>
            <w:vAlign w:val="center"/>
          </w:tcPr>
          <w:p w14:paraId="7CA40EA0">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附加条件</w:t>
            </w:r>
          </w:p>
        </w:tc>
        <w:tc>
          <w:tcPr>
            <w:tcW w:w="3690" w:type="pct"/>
            <w:vAlign w:val="center"/>
          </w:tcPr>
          <w:p w14:paraId="3CD21C04">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01DC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vAlign w:val="center"/>
          </w:tcPr>
          <w:p w14:paraId="3268C9A4">
            <w:pPr>
              <w:widowControl/>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856" w:type="pct"/>
            <w:vAlign w:val="center"/>
          </w:tcPr>
          <w:p w14:paraId="790C76C3">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其他无效情形</w:t>
            </w:r>
          </w:p>
        </w:tc>
        <w:tc>
          <w:tcPr>
            <w:tcW w:w="3690" w:type="pct"/>
            <w:vAlign w:val="center"/>
          </w:tcPr>
          <w:p w14:paraId="6E34FD0A">
            <w:pPr>
              <w:widowControl/>
              <w:spacing w:line="360" w:lineRule="exact"/>
              <w:jc w:val="left"/>
              <w:rPr>
                <w:rFonts w:hint="eastAsia" w:ascii="宋体" w:hAnsi="宋体" w:cs="宋体"/>
                <w:color w:val="auto"/>
                <w:sz w:val="24"/>
                <w:highlight w:val="none"/>
              </w:rPr>
            </w:pPr>
            <w:r>
              <w:rPr>
                <w:rFonts w:hint="eastAsia" w:ascii="宋体" w:hAnsi="宋体" w:cs="宋体"/>
                <w:color w:val="auto"/>
                <w:sz w:val="24"/>
                <w:highlight w:val="none"/>
              </w:rPr>
              <w:t>供应商、响应文件不存在不符合法律、法规和磋商文件规定的其他无效情形。</w:t>
            </w:r>
          </w:p>
        </w:tc>
      </w:tr>
    </w:tbl>
    <w:p w14:paraId="7E4A3B86">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磋商、响应文件有关事项的澄清、说明或者更正和最终报价</w:t>
      </w:r>
    </w:p>
    <w:p w14:paraId="00DA7055">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磋商小组所有成员应当集中与单一供应商分别进行磋商，并给予所有参加磋商的供应商平等的磋商机会。</w:t>
      </w:r>
    </w:p>
    <w:p w14:paraId="57141F9B">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3A0D5607">
      <w:pPr>
        <w:numPr>
          <w:ilvl w:val="1"/>
          <w:numId w:val="4"/>
        </w:numPr>
        <w:tabs>
          <w:tab w:val="left" w:pos="1080"/>
          <w:tab w:val="left" w:pos="1872"/>
        </w:tabs>
        <w:snapToGrid w:val="0"/>
        <w:spacing w:line="360" w:lineRule="auto"/>
        <w:ind w:left="1077" w:hanging="720"/>
        <w:rPr>
          <w:rFonts w:hint="eastAsia" w:ascii="宋体" w:hAnsi="宋体" w:cs="宋体"/>
          <w:color w:val="auto"/>
          <w:kern w:val="0"/>
          <w:sz w:val="24"/>
          <w:highlight w:val="none"/>
        </w:rPr>
      </w:pPr>
      <w:r>
        <w:rPr>
          <w:color w:val="auto"/>
          <w:kern w:val="0"/>
          <w:sz w:val="24"/>
          <w:highlight w:val="none"/>
        </w:rPr>
        <w:t>对磋商文件作出的实质性变动是磋商文件的有效组成部分，磋商小组应当及时</w:t>
      </w:r>
      <w:r>
        <w:rPr>
          <w:rFonts w:hint="eastAsia"/>
          <w:color w:val="auto"/>
          <w:sz w:val="24"/>
          <w:highlight w:val="none"/>
        </w:rPr>
        <w:t>通过“苏采云”政府采购一体化平台系统</w:t>
      </w:r>
      <w:r>
        <w:rPr>
          <w:color w:val="auto"/>
          <w:kern w:val="0"/>
          <w:sz w:val="24"/>
          <w:highlight w:val="none"/>
        </w:rPr>
        <w:t>以书面形式同时通知所有参加磋商的供应商。</w:t>
      </w:r>
    </w:p>
    <w:p w14:paraId="2CAA0BE2">
      <w:pPr>
        <w:numPr>
          <w:ilvl w:val="1"/>
          <w:numId w:val="4"/>
        </w:numPr>
        <w:tabs>
          <w:tab w:val="left" w:pos="1080"/>
          <w:tab w:val="left" w:pos="1872"/>
        </w:tabs>
        <w:snapToGrid w:val="0"/>
        <w:spacing w:line="360" w:lineRule="auto"/>
        <w:ind w:left="1077" w:hanging="720"/>
        <w:rPr>
          <w:rFonts w:hint="eastAsia" w:ascii="宋体" w:hAnsi="宋体" w:cs="宋体"/>
          <w:color w:val="auto"/>
          <w:kern w:val="0"/>
          <w:sz w:val="24"/>
          <w:highlight w:val="none"/>
        </w:rPr>
      </w:pPr>
      <w:r>
        <w:rPr>
          <w:rFonts w:hint="eastAsia" w:ascii="宋体" w:hAnsi="宋体" w:cs="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2969F91">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响应文件的澄清、说明或者更正：</w:t>
      </w:r>
    </w:p>
    <w:p w14:paraId="37743593">
      <w:pPr>
        <w:tabs>
          <w:tab w:val="left" w:pos="1980"/>
        </w:tabs>
        <w:snapToGrid w:val="0"/>
        <w:spacing w:line="360" w:lineRule="auto"/>
        <w:ind w:left="1080"/>
        <w:rPr>
          <w:rFonts w:hint="eastAsia" w:ascii="宋体" w:hAnsi="宋体" w:cs="宋体"/>
          <w:color w:val="auto"/>
          <w:sz w:val="24"/>
          <w:highlight w:val="none"/>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通过“苏采云”政府采购一体化平台系统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00380F37">
      <w:pPr>
        <w:numPr>
          <w:ilvl w:val="1"/>
          <w:numId w:val="4"/>
        </w:numPr>
        <w:tabs>
          <w:tab w:val="left" w:pos="1080"/>
          <w:tab w:val="left" w:pos="1872"/>
        </w:tabs>
        <w:snapToGrid w:val="0"/>
        <w:spacing w:line="360" w:lineRule="auto"/>
        <w:ind w:left="1077" w:hanging="720"/>
        <w:rPr>
          <w:rFonts w:hint="eastAsia" w:ascii="宋体" w:hAnsi="宋体" w:cs="宋体"/>
          <w:b/>
          <w:color w:val="auto"/>
          <w:sz w:val="24"/>
          <w:highlight w:val="none"/>
        </w:rPr>
      </w:pPr>
      <w:r>
        <w:rPr>
          <w:b/>
          <w:color w:val="auto"/>
          <w:sz w:val="24"/>
          <w:highlight w:val="none"/>
        </w:rPr>
        <w:t>磋商结束后，磋商小组将要求所有实质性响应的供应商在规定时间内</w:t>
      </w:r>
      <w:r>
        <w:rPr>
          <w:rFonts w:hint="eastAsia"/>
          <w:b/>
          <w:color w:val="auto"/>
          <w:sz w:val="24"/>
          <w:highlight w:val="none"/>
        </w:rPr>
        <w:t>通过“苏采云”政府采购一体化平台系统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ascii="宋体" w:hAnsi="宋体" w:cs="宋体"/>
          <w:b/>
          <w:color w:val="auto"/>
          <w:sz w:val="24"/>
          <w:highlight w:val="none"/>
        </w:rPr>
        <w:t>。</w:t>
      </w:r>
    </w:p>
    <w:p w14:paraId="01AC570C">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snapToGrid w:val="0"/>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B942553">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最终报价是供应商响应文件的有效组成部分。</w:t>
      </w:r>
    </w:p>
    <w:p w14:paraId="0D68D1B0">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已提交响应文件的供应商，在提交最终报价之前，可以根据磋商情况退出磋商。</w:t>
      </w:r>
    </w:p>
    <w:p w14:paraId="0940F9C0">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最终报价的算术修正及政策调整</w:t>
      </w:r>
    </w:p>
    <w:p w14:paraId="1CB9DFB1">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14:paraId="21C751D5">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最终报价出现前后不一致的，按照下列规定修正：</w:t>
      </w:r>
    </w:p>
    <w:p w14:paraId="769B2B9F">
      <w:pPr>
        <w:numPr>
          <w:ilvl w:val="2"/>
          <w:numId w:val="4"/>
        </w:numPr>
        <w:tabs>
          <w:tab w:val="left" w:pos="1080"/>
          <w:tab w:val="left" w:pos="1589"/>
          <w:tab w:val="left" w:pos="2035"/>
          <w:tab w:val="left" w:pos="2114"/>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竞争性磋商文件对于报价修正是否另有规定：</w:t>
      </w:r>
    </w:p>
    <w:p w14:paraId="39E56B66">
      <w:pPr>
        <w:tabs>
          <w:tab w:val="left" w:pos="1080"/>
          <w:tab w:val="left" w:pos="1589"/>
          <w:tab w:val="left" w:pos="2035"/>
          <w:tab w:val="left" w:pos="2114"/>
        </w:tabs>
        <w:snapToGrid w:val="0"/>
        <w:spacing w:line="360" w:lineRule="auto"/>
        <w:ind w:left="2035"/>
        <w:rPr>
          <w:rFonts w:hint="eastAsia"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155EC9E">
      <w:pPr>
        <w:tabs>
          <w:tab w:val="left" w:pos="1080"/>
          <w:tab w:val="left" w:pos="1589"/>
          <w:tab w:val="left" w:pos="2035"/>
          <w:tab w:val="left" w:pos="2114"/>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■无，按下述3.2.2-3.2.5项规定修正。</w:t>
      </w:r>
    </w:p>
    <w:p w14:paraId="48632497">
      <w:pPr>
        <w:numPr>
          <w:ilvl w:val="2"/>
          <w:numId w:val="4"/>
        </w:numPr>
        <w:tabs>
          <w:tab w:val="left" w:pos="2035"/>
          <w:tab w:val="left" w:pos="2114"/>
          <w:tab w:val="left" w:pos="2977"/>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1E7FA1BB">
      <w:pPr>
        <w:numPr>
          <w:ilvl w:val="2"/>
          <w:numId w:val="4"/>
        </w:numPr>
        <w:tabs>
          <w:tab w:val="left" w:pos="2035"/>
          <w:tab w:val="left" w:pos="2114"/>
          <w:tab w:val="left" w:pos="2977"/>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单价金额小数点或者百分比有明显错位的，以最终报价一览表的总价为准，并修改单价；</w:t>
      </w:r>
    </w:p>
    <w:p w14:paraId="216C337D">
      <w:pPr>
        <w:numPr>
          <w:ilvl w:val="2"/>
          <w:numId w:val="4"/>
        </w:numPr>
        <w:tabs>
          <w:tab w:val="left" w:pos="2035"/>
          <w:tab w:val="left" w:pos="2114"/>
          <w:tab w:val="left" w:pos="2977"/>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4F0010DC">
      <w:pPr>
        <w:numPr>
          <w:ilvl w:val="2"/>
          <w:numId w:val="4"/>
        </w:numPr>
        <w:tabs>
          <w:tab w:val="left" w:pos="1080"/>
          <w:tab w:val="left" w:pos="1589"/>
          <w:tab w:val="left" w:pos="2035"/>
          <w:tab w:val="left" w:pos="2114"/>
        </w:tabs>
        <w:snapToGrid w:val="0"/>
        <w:spacing w:line="360" w:lineRule="auto"/>
        <w:ind w:left="2035"/>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cs="宋体"/>
          <w:b/>
          <w:color w:val="auto"/>
          <w:sz w:val="24"/>
          <w:highlight w:val="none"/>
        </w:rPr>
        <w:t>其响应无效</w:t>
      </w:r>
      <w:r>
        <w:rPr>
          <w:rFonts w:hint="eastAsia" w:ascii="宋体" w:hAnsi="宋体" w:cs="宋体"/>
          <w:color w:val="auto"/>
          <w:sz w:val="24"/>
          <w:highlight w:val="none"/>
        </w:rPr>
        <w:t>。</w:t>
      </w:r>
    </w:p>
    <w:p w14:paraId="5093A894">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BB71BBE">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磋商环节及提交最终报价后如出现以下情况的，供应商的</w:t>
      </w:r>
      <w:r>
        <w:rPr>
          <w:rFonts w:hint="eastAsia" w:ascii="宋体" w:hAnsi="宋体" w:cs="宋体"/>
          <w:b/>
          <w:color w:val="auto"/>
          <w:sz w:val="24"/>
          <w:highlight w:val="none"/>
        </w:rPr>
        <w:t>响应文件无效</w:t>
      </w:r>
      <w:r>
        <w:rPr>
          <w:rFonts w:hint="eastAsia" w:ascii="宋体" w:hAnsi="宋体" w:cs="宋体"/>
          <w:color w:val="auto"/>
          <w:sz w:val="24"/>
          <w:highlight w:val="none"/>
        </w:rPr>
        <w:t>：</w:t>
      </w:r>
    </w:p>
    <w:p w14:paraId="4AB02A08">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供应商对实质性变动不予确认的；</w:t>
      </w:r>
    </w:p>
    <w:p w14:paraId="63493EDC">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未按照磋商小组规定的时间、逾期提交最终报价的；</w:t>
      </w:r>
    </w:p>
    <w:p w14:paraId="0BFD627B">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如供应商的最终报价超过竞争性磋商文件中规定的项目预算金额或者项目最高限价的；</w:t>
      </w:r>
    </w:p>
    <w:p w14:paraId="12B7B305">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响应文件中出现可选择性或可调整的报价的（竞争性磋商文件另有规定的除外）；</w:t>
      </w:r>
    </w:p>
    <w:p w14:paraId="2C5B9258">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最终报价出现前后不一致，供应商对修正后的报价不予确认的；</w:t>
      </w:r>
    </w:p>
    <w:p w14:paraId="500A1767">
      <w:pPr>
        <w:numPr>
          <w:ilvl w:val="1"/>
          <w:numId w:val="4"/>
        </w:numPr>
        <w:tabs>
          <w:tab w:val="left" w:pos="1080"/>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bookmarkEnd w:id="586"/>
    <w:bookmarkEnd w:id="587"/>
    <w:p w14:paraId="2E30B7AA">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评审方法和评审标准</w:t>
      </w:r>
    </w:p>
    <w:p w14:paraId="1E02C828">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BC56060">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竞争性磋商文件中没有规定的评审标准不得作为评审依据。</w:t>
      </w:r>
    </w:p>
    <w:p w14:paraId="0E0F2569">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61ADB39">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F590EBE">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确定</w:t>
      </w:r>
      <w:bookmarkStart w:id="603" w:name="_Toc305158888"/>
      <w:bookmarkStart w:id="604" w:name="_Toc151193788"/>
      <w:bookmarkStart w:id="605" w:name="_Toc226965736"/>
      <w:bookmarkStart w:id="606" w:name="_Toc520356170"/>
      <w:bookmarkStart w:id="607" w:name="_Toc226337242"/>
      <w:bookmarkStart w:id="608" w:name="_Toc151193860"/>
      <w:bookmarkStart w:id="609" w:name="_Toc149720839"/>
      <w:bookmarkStart w:id="610" w:name="_Toc151190173"/>
      <w:bookmarkStart w:id="611" w:name="_Toc226965819"/>
      <w:bookmarkStart w:id="612" w:name="_Toc150774646"/>
      <w:bookmarkStart w:id="613" w:name="_Toc142311048"/>
      <w:bookmarkStart w:id="614" w:name="_Toc151193934"/>
      <w:bookmarkStart w:id="615" w:name="_Toc195842911"/>
      <w:bookmarkStart w:id="616" w:name="_Toc164608660"/>
      <w:bookmarkStart w:id="617" w:name="_Toc164229387"/>
      <w:bookmarkStart w:id="618" w:name="_Toc164229241"/>
      <w:bookmarkStart w:id="619" w:name="_Toc127151546"/>
      <w:bookmarkStart w:id="620" w:name="_Toc305158814"/>
      <w:bookmarkStart w:id="621" w:name="_Toc150480784"/>
      <w:bookmarkStart w:id="622" w:name="_Ref467307010"/>
      <w:bookmarkStart w:id="623" w:name="_Toc150509297"/>
      <w:bookmarkStart w:id="624" w:name="_Toc226309790"/>
      <w:bookmarkStart w:id="625" w:name="_Toc127151747"/>
      <w:bookmarkStart w:id="626" w:name="_Toc164608815"/>
      <w:bookmarkStart w:id="627" w:name="_Toc151193644"/>
      <w:bookmarkStart w:id="628" w:name="_Toc164351640"/>
      <w:bookmarkStart w:id="629" w:name="_Toc151193716"/>
      <w:bookmarkStart w:id="630" w:name="_Toc264969236"/>
      <w:bookmarkStart w:id="631" w:name="_Toc127161460"/>
      <w:bookmarkStart w:id="632" w:name="_Toc265228384"/>
      <w:bookmarkStart w:id="633" w:name="_Toc150774751"/>
      <w:r>
        <w:rPr>
          <w:rFonts w:hint="eastAsia" w:ascii="宋体" w:hAnsi="宋体" w:cs="宋体"/>
          <w:color w:val="auto"/>
          <w:sz w:val="24"/>
          <w:highlight w:val="none"/>
        </w:rPr>
        <w:t>成交候选人名单</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169784BD">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DCC07EC">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kern w:val="0"/>
          <w:sz w:val="24"/>
          <w:szCs w:val="20"/>
          <w:highlight w:val="none"/>
        </w:rPr>
        <w:t>磋商小组根据上述供应商排序，依次推荐排序前</w:t>
      </w:r>
      <w:r>
        <w:rPr>
          <w:rFonts w:hint="eastAsia" w:ascii="宋体" w:hAnsi="宋体" w:cs="宋体"/>
          <w:color w:val="auto"/>
          <w:sz w:val="24"/>
          <w:highlight w:val="none"/>
        </w:rPr>
        <w:t>3名</w:t>
      </w:r>
      <w:r>
        <w:rPr>
          <w:rFonts w:hint="eastAsia" w:ascii="宋体" w:hAnsi="宋体" w:cs="宋体"/>
          <w:color w:val="auto"/>
          <w:kern w:val="0"/>
          <w:sz w:val="24"/>
          <w:szCs w:val="20"/>
          <w:highlight w:val="none"/>
        </w:rPr>
        <w:t>的供应商为</w:t>
      </w:r>
      <w:r>
        <w:rPr>
          <w:rFonts w:hint="eastAsia" w:ascii="宋体" w:hAnsi="宋体" w:cs="宋体"/>
          <w:snapToGrid w:val="0"/>
          <w:color w:val="auto"/>
          <w:kern w:val="0"/>
          <w:sz w:val="24"/>
          <w:szCs w:val="21"/>
          <w:highlight w:val="none"/>
        </w:rPr>
        <w:t>成交候选供应商</w:t>
      </w:r>
      <w:r>
        <w:rPr>
          <w:rFonts w:hint="eastAsia" w:ascii="宋体" w:hAnsi="宋体" w:cs="宋体"/>
          <w:color w:val="auto"/>
          <w:kern w:val="0"/>
          <w:sz w:val="24"/>
          <w:szCs w:val="20"/>
          <w:highlight w:val="none"/>
        </w:rPr>
        <w:t>（若在磋商文件允许的情形下提交最终报价的供应商为二家，则依次推荐二名供应商为成交候选供应商），并编写评审报告。</w:t>
      </w:r>
    </w:p>
    <w:p w14:paraId="2758CA98">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cs="宋体"/>
          <w:color w:val="auto"/>
          <w:sz w:val="24"/>
          <w:highlight w:val="none"/>
        </w:rPr>
        <w:t>磋商小组要对评分汇总情况进行复核，特别是对排名第一的、报价最低的、响应文件被认定为无效的情形进行重点复核。</w:t>
      </w:r>
    </w:p>
    <w:p w14:paraId="1460E53D">
      <w:pPr>
        <w:numPr>
          <w:ilvl w:val="0"/>
          <w:numId w:val="4"/>
        </w:numPr>
        <w:tabs>
          <w:tab w:val="left" w:pos="360"/>
        </w:tabs>
        <w:snapToGrid w:val="0"/>
        <w:spacing w:line="360" w:lineRule="auto"/>
        <w:outlineLvl w:val="1"/>
        <w:rPr>
          <w:rFonts w:hint="eastAsia" w:ascii="宋体" w:hAnsi="宋体" w:cs="宋体"/>
          <w:color w:val="auto"/>
          <w:sz w:val="24"/>
          <w:highlight w:val="none"/>
        </w:rPr>
      </w:pPr>
      <w:r>
        <w:rPr>
          <w:rFonts w:hint="eastAsia" w:ascii="宋体" w:hAnsi="宋体" w:cs="宋体"/>
          <w:color w:val="auto"/>
          <w:sz w:val="24"/>
          <w:highlight w:val="none"/>
        </w:rPr>
        <w:t>报告违法行为</w:t>
      </w:r>
    </w:p>
    <w:p w14:paraId="64471B97">
      <w:pPr>
        <w:snapToGrid w:val="0"/>
        <w:spacing w:line="360" w:lineRule="auto"/>
        <w:jc w:val="center"/>
        <w:rPr>
          <w:rFonts w:hint="eastAsia" w:ascii="宋体" w:hAnsi="宋体"/>
          <w:b/>
          <w:bCs/>
          <w:color w:val="auto"/>
          <w:sz w:val="28"/>
          <w:szCs w:val="28"/>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auto"/>
          <w:sz w:val="24"/>
          <w:highlight w:val="none"/>
        </w:rPr>
        <w:br w:type="page"/>
      </w:r>
      <w:r>
        <w:rPr>
          <w:rFonts w:hint="eastAsia" w:ascii="宋体" w:hAnsi="宋体"/>
          <w:b/>
          <w:bCs/>
          <w:color w:val="auto"/>
          <w:sz w:val="28"/>
          <w:szCs w:val="28"/>
          <w:highlight w:val="none"/>
        </w:rPr>
        <w:t>二、评审标准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899"/>
        <w:gridCol w:w="6554"/>
        <w:gridCol w:w="488"/>
      </w:tblGrid>
      <w:tr w14:paraId="2C50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581" w:type="dxa"/>
            <w:tcMar>
              <w:top w:w="0" w:type="dxa"/>
              <w:left w:w="108" w:type="dxa"/>
              <w:bottom w:w="0" w:type="dxa"/>
              <w:right w:w="108" w:type="dxa"/>
            </w:tcMar>
            <w:vAlign w:val="center"/>
          </w:tcPr>
          <w:p w14:paraId="16FA662C">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99" w:type="dxa"/>
            <w:tcMar>
              <w:top w:w="0" w:type="dxa"/>
              <w:left w:w="108" w:type="dxa"/>
              <w:bottom w:w="0" w:type="dxa"/>
              <w:right w:w="108" w:type="dxa"/>
            </w:tcMar>
            <w:vAlign w:val="center"/>
          </w:tcPr>
          <w:p w14:paraId="1F2E5232">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评分因素</w:t>
            </w:r>
          </w:p>
        </w:tc>
        <w:tc>
          <w:tcPr>
            <w:tcW w:w="6554" w:type="dxa"/>
            <w:tcMar>
              <w:top w:w="0" w:type="dxa"/>
              <w:left w:w="108" w:type="dxa"/>
              <w:bottom w:w="0" w:type="dxa"/>
              <w:right w:w="108" w:type="dxa"/>
            </w:tcMar>
            <w:vAlign w:val="center"/>
          </w:tcPr>
          <w:p w14:paraId="4F140215">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评分标准</w:t>
            </w:r>
          </w:p>
        </w:tc>
        <w:tc>
          <w:tcPr>
            <w:tcW w:w="488" w:type="dxa"/>
            <w:tcMar>
              <w:top w:w="0" w:type="dxa"/>
              <w:left w:w="108" w:type="dxa"/>
              <w:bottom w:w="0" w:type="dxa"/>
              <w:right w:w="108" w:type="dxa"/>
            </w:tcMar>
            <w:vAlign w:val="center"/>
          </w:tcPr>
          <w:p w14:paraId="4DA0C921">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分值</w:t>
            </w:r>
          </w:p>
        </w:tc>
      </w:tr>
      <w:tr w14:paraId="1A6C1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tcMar>
              <w:top w:w="0" w:type="dxa"/>
              <w:left w:w="108" w:type="dxa"/>
              <w:bottom w:w="0" w:type="dxa"/>
              <w:right w:w="108" w:type="dxa"/>
            </w:tcMar>
            <w:vAlign w:val="center"/>
          </w:tcPr>
          <w:p w14:paraId="31F8373E">
            <w:pPr>
              <w:tabs>
                <w:tab w:val="left" w:pos="426"/>
              </w:tabs>
              <w:autoSpaceDE w:val="0"/>
              <w:autoSpaceDN w:val="0"/>
              <w:adjustRightInd w:val="0"/>
              <w:spacing w:line="40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一、报价（10分）</w:t>
            </w:r>
          </w:p>
        </w:tc>
      </w:tr>
      <w:tr w14:paraId="1452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3F7AD5C9">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99" w:type="dxa"/>
            <w:tcMar>
              <w:top w:w="0" w:type="dxa"/>
              <w:left w:w="108" w:type="dxa"/>
              <w:bottom w:w="0" w:type="dxa"/>
              <w:right w:w="108" w:type="dxa"/>
            </w:tcMar>
            <w:vAlign w:val="center"/>
          </w:tcPr>
          <w:p w14:paraId="6668688B">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c>
          <w:tcPr>
            <w:tcW w:w="6554" w:type="dxa"/>
            <w:tcMar>
              <w:top w:w="0" w:type="dxa"/>
              <w:left w:w="108" w:type="dxa"/>
              <w:bottom w:w="0" w:type="dxa"/>
              <w:right w:w="108" w:type="dxa"/>
            </w:tcMar>
            <w:vAlign w:val="center"/>
          </w:tcPr>
          <w:p w14:paraId="4E7F853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满足磋商文件要求且最终报价最低的报价为评标基准价，其价格分为满分。其他供应商的价格分统一按照下列公式计算：价格分得分＝（评标基准价/最终报价）×分值。</w:t>
            </w:r>
          </w:p>
          <w:p w14:paraId="0D27992E">
            <w:pPr>
              <w:adjustRightInd w:val="0"/>
              <w:snapToGrid w:val="0"/>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注：此处最终报价指经过报价修正后的最终报价。</w:t>
            </w:r>
          </w:p>
        </w:tc>
        <w:tc>
          <w:tcPr>
            <w:tcW w:w="488" w:type="dxa"/>
            <w:tcMar>
              <w:top w:w="0" w:type="dxa"/>
              <w:left w:w="108" w:type="dxa"/>
              <w:bottom w:w="0" w:type="dxa"/>
              <w:right w:w="108" w:type="dxa"/>
            </w:tcMar>
            <w:vAlign w:val="center"/>
          </w:tcPr>
          <w:p w14:paraId="432C44A4">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3035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tcMar>
              <w:top w:w="0" w:type="dxa"/>
              <w:left w:w="108" w:type="dxa"/>
              <w:bottom w:w="0" w:type="dxa"/>
              <w:right w:w="108" w:type="dxa"/>
            </w:tcMar>
            <w:vAlign w:val="center"/>
          </w:tcPr>
          <w:p w14:paraId="2BC7EF57">
            <w:pPr>
              <w:tabs>
                <w:tab w:val="left" w:pos="426"/>
              </w:tabs>
              <w:autoSpaceDE w:val="0"/>
              <w:autoSpaceDN w:val="0"/>
              <w:adjustRightInd w:val="0"/>
              <w:spacing w:line="40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二、主观分（70分）</w:t>
            </w:r>
          </w:p>
        </w:tc>
      </w:tr>
      <w:tr w14:paraId="2546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163AD562">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99" w:type="dxa"/>
            <w:tcMar>
              <w:top w:w="0" w:type="dxa"/>
              <w:left w:w="108" w:type="dxa"/>
              <w:bottom w:w="0" w:type="dxa"/>
              <w:right w:w="108" w:type="dxa"/>
            </w:tcMar>
            <w:vAlign w:val="center"/>
          </w:tcPr>
          <w:p w14:paraId="6A18D828">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项目总体概述</w:t>
            </w:r>
          </w:p>
        </w:tc>
        <w:tc>
          <w:tcPr>
            <w:tcW w:w="6554" w:type="dxa"/>
            <w:tcMar>
              <w:top w:w="0" w:type="dxa"/>
              <w:left w:w="108" w:type="dxa"/>
              <w:bottom w:w="0" w:type="dxa"/>
              <w:right w:w="108" w:type="dxa"/>
            </w:tcMar>
          </w:tcPr>
          <w:p w14:paraId="56296247">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磋商小组根据供应商提供的工程总体概述资料（含工程概况、施工组织总体设想、施工方案针对性、施工段划分、施工现场平面布置、临时设施及临时道路布置等内容）综合评审：</w:t>
            </w:r>
          </w:p>
          <w:p w14:paraId="0CAC1F47">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（1）总体概述内容完整详实，主导工程内容清晰、施工方法科学合理、针对性强，完全契合、满足本项目全部实施要求的，得10分；</w:t>
            </w:r>
          </w:p>
          <w:p w14:paraId="4238A655">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（2）总体概述内容较为完整，主导工程内容、施工方法明确合理，能够基本满足本项目实施要求的，得8分；</w:t>
            </w:r>
          </w:p>
          <w:p w14:paraId="1251E5EB">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（3）总体概述内容相对简略，对本项目实施要求响应程度一般，内容完整性、针对性有所欠缺的，得6分；</w:t>
            </w:r>
          </w:p>
          <w:p w14:paraId="6AEE367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（4）总体概述内容粗糙、逻辑混乱，无项目针对性，无法匹配项目实施需求的，得4分；</w:t>
            </w:r>
          </w:p>
          <w:p w14:paraId="4FAB9798">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04E37684">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4331E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18DE6BBF">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99" w:type="dxa"/>
            <w:tcMar>
              <w:top w:w="0" w:type="dxa"/>
              <w:left w:w="108" w:type="dxa"/>
              <w:bottom w:w="0" w:type="dxa"/>
              <w:right w:w="108" w:type="dxa"/>
            </w:tcMar>
            <w:vAlign w:val="center"/>
          </w:tcPr>
          <w:p w14:paraId="27D830E4">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整体施工方案</w:t>
            </w:r>
          </w:p>
        </w:tc>
        <w:tc>
          <w:tcPr>
            <w:tcW w:w="6554" w:type="dxa"/>
            <w:tcMar>
              <w:top w:w="0" w:type="dxa"/>
              <w:left w:w="108" w:type="dxa"/>
              <w:bottom w:w="0" w:type="dxa"/>
              <w:right w:w="108" w:type="dxa"/>
            </w:tcMar>
          </w:tcPr>
          <w:p w14:paraId="2BD85EA4">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磋商小组根据供应商提供的整体施工方案综合评审：</w:t>
            </w:r>
          </w:p>
          <w:p w14:paraId="26B37BD1">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（1）施工方案体系完整、内容详实、逻辑清晰，工艺流程、施工部署科学，完全满足本项目实施要求的，得10分；</w:t>
            </w:r>
          </w:p>
          <w:p w14:paraId="4EA1CA48">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（2）施工方案内容较为具体，核心施工流程、部署规划清晰，能够基本满足本项目实施要求的，得8分；</w:t>
            </w:r>
          </w:p>
          <w:p w14:paraId="2FD9FF54">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（3）施工方案内容简略，细节缺失较多，对本项目实施要求响应程度一般的，得6分；</w:t>
            </w:r>
          </w:p>
          <w:p w14:paraId="592504D1">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（4）施工方案内容粗糙、流于形式，无项目针对性的，得4分；</w:t>
            </w:r>
          </w:p>
          <w:p w14:paraId="7C36B4D1">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59C3AF88">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07428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6D626346">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899" w:type="dxa"/>
            <w:tcMar>
              <w:top w:w="0" w:type="dxa"/>
              <w:left w:w="108" w:type="dxa"/>
              <w:bottom w:w="0" w:type="dxa"/>
              <w:right w:w="108" w:type="dxa"/>
            </w:tcMar>
            <w:vAlign w:val="center"/>
          </w:tcPr>
          <w:p w14:paraId="72876A4A">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施工进度计划及进度保障措施</w:t>
            </w:r>
          </w:p>
        </w:tc>
        <w:tc>
          <w:tcPr>
            <w:tcW w:w="6554" w:type="dxa"/>
            <w:tcMar>
              <w:top w:w="0" w:type="dxa"/>
              <w:left w:w="108" w:type="dxa"/>
              <w:bottom w:w="0" w:type="dxa"/>
              <w:right w:w="108" w:type="dxa"/>
            </w:tcMar>
          </w:tcPr>
          <w:p w14:paraId="50058E7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磋商小组根据供应商提供的工程施工进度计划及进度保障措施综合评审：</w:t>
            </w:r>
          </w:p>
          <w:p w14:paraId="0036851C">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（1）施工进度计划及进度保障措施体系完整、内容详实，管控流程、保障机制完善，可全面保障项目施工质量，完全满足项目实施要求的，得10分；</w:t>
            </w:r>
          </w:p>
          <w:p w14:paraId="469D208B">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（2）施工进度计划及进度保障措施内容具体、管控要点清晰，能够有效保障项目施工质量，基本满足项目实施要求的，得8分；</w:t>
            </w:r>
          </w:p>
          <w:p w14:paraId="14F6562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（3）施工进度计划及进度保障措施内容简略，管控机制不够完善，对项目质量管控要求响应一般的，得6分；</w:t>
            </w:r>
          </w:p>
          <w:p w14:paraId="49530BDA">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（4）施工进度计划及进度保障措施内容粗糙、缺乏针对性，管控措施无效、无法保障施工质量的，得4分；</w:t>
            </w:r>
          </w:p>
          <w:p w14:paraId="11FA7833">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50E1F360">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6F97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1D8A57BE">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899" w:type="dxa"/>
            <w:tcMar>
              <w:top w:w="0" w:type="dxa"/>
              <w:left w:w="108" w:type="dxa"/>
              <w:bottom w:w="0" w:type="dxa"/>
              <w:right w:w="108" w:type="dxa"/>
            </w:tcMar>
            <w:vAlign w:val="center"/>
          </w:tcPr>
          <w:p w14:paraId="5F54CCBE">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质量保障措施</w:t>
            </w:r>
          </w:p>
        </w:tc>
        <w:tc>
          <w:tcPr>
            <w:tcW w:w="6554" w:type="dxa"/>
            <w:tcMar>
              <w:top w:w="0" w:type="dxa"/>
              <w:left w:w="108" w:type="dxa"/>
              <w:bottom w:w="0" w:type="dxa"/>
              <w:right w:w="108" w:type="dxa"/>
            </w:tcMar>
          </w:tcPr>
          <w:p w14:paraId="533F821E">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磋商小组根据供应商提供的工程质量保障措施综合评审：</w:t>
            </w:r>
          </w:p>
          <w:p w14:paraId="466FA4B8">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（1）质量保障措施体系完整、内容详实，管控流程、保障机制完善，可全面保障项目施工质量，完全满足项目实施要求的，得10分；</w:t>
            </w:r>
          </w:p>
          <w:p w14:paraId="440F0F4B">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（2）质量保障措施内容具体、管控要点清晰，能够有效保障项目施工质量，基本满足项目实施要求的，得8分；</w:t>
            </w:r>
          </w:p>
          <w:p w14:paraId="10CA9208">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（3）质量保障措施内容简略，管控机制不够完善，对项目质量管控要求响应一般的，得6分；</w:t>
            </w:r>
          </w:p>
          <w:p w14:paraId="4650F1F5">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（4）质量保障措施内容粗糙、缺乏针对性，管控措施无效、无法保障施工质量的，得4分；</w:t>
            </w:r>
          </w:p>
          <w:p w14:paraId="2A5F0E8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1BBE5387">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1985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1191A775">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99" w:type="dxa"/>
            <w:tcMar>
              <w:top w:w="0" w:type="dxa"/>
              <w:left w:w="108" w:type="dxa"/>
              <w:bottom w:w="0" w:type="dxa"/>
              <w:right w:w="108" w:type="dxa"/>
            </w:tcMar>
            <w:vAlign w:val="center"/>
          </w:tcPr>
          <w:p w14:paraId="1BD1F4C5">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安全文明施工措施</w:t>
            </w:r>
          </w:p>
        </w:tc>
        <w:tc>
          <w:tcPr>
            <w:tcW w:w="6554" w:type="dxa"/>
            <w:tcMar>
              <w:top w:w="0" w:type="dxa"/>
              <w:left w:w="108" w:type="dxa"/>
              <w:bottom w:w="0" w:type="dxa"/>
              <w:right w:w="108" w:type="dxa"/>
            </w:tcMar>
          </w:tcPr>
          <w:p w14:paraId="60A7E50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磋商小组根据供应商提供的安全文明施工措施综合评审：</w:t>
            </w:r>
          </w:p>
          <w:p w14:paraId="240B52D5">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（1）安全文明施工措施体系完整、内容详实，安全管控、文明施工、风险防控机制完善，完全满足项目施工安全及文明施工要求的，得10分；</w:t>
            </w:r>
          </w:p>
          <w:p w14:paraId="61757BC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（2）安全文明施工措施内容具体、管控要点齐全，能够有效防范施工安全风险、保障文明施工，基本满足项目实施要求的，得8分；</w:t>
            </w:r>
          </w:p>
          <w:p w14:paraId="731BAA8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（3）安全文明施工措施内容简略，管控细节缺失，对项目安全文明施工要求响应一般的，得6分；</w:t>
            </w:r>
          </w:p>
          <w:p w14:paraId="0769362A">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（4）安全文明施工措施内容粗糙、无项目针对性，无法满足安全文明施工基本要求的，得4分；</w:t>
            </w:r>
          </w:p>
          <w:p w14:paraId="6A4FA353">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0C399E97">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2214F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3D5DBD1E">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99" w:type="dxa"/>
            <w:tcMar>
              <w:top w:w="0" w:type="dxa"/>
              <w:left w:w="108" w:type="dxa"/>
              <w:bottom w:w="0" w:type="dxa"/>
              <w:right w:w="108" w:type="dxa"/>
            </w:tcMar>
            <w:vAlign w:val="center"/>
          </w:tcPr>
          <w:p w14:paraId="502CF0A7">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环境保护措施</w:t>
            </w:r>
          </w:p>
        </w:tc>
        <w:tc>
          <w:tcPr>
            <w:tcW w:w="6554" w:type="dxa"/>
            <w:tcMar>
              <w:top w:w="0" w:type="dxa"/>
              <w:left w:w="108" w:type="dxa"/>
              <w:bottom w:w="0" w:type="dxa"/>
              <w:right w:w="108" w:type="dxa"/>
            </w:tcMar>
          </w:tcPr>
          <w:p w14:paraId="67191ED1">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磋商小组根据供应商提供的环境保护措施综合评审：</w:t>
            </w:r>
          </w:p>
          <w:p w14:paraId="49C0243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（1）环境保护措施体系完整、内容详实，安全管控、文明施工、风险防控机制完善，完全满足项目施工安全及文明施工要求的，得10分；</w:t>
            </w:r>
          </w:p>
          <w:p w14:paraId="6B397E0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（2）环境保护措施内容具体、管控要点齐全，能够有效防范施工安全风险、保障文明施工，基本满足项目实施要求的，得8分；</w:t>
            </w:r>
          </w:p>
          <w:p w14:paraId="17A5F4D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（3）环境保护措施内容简略，管控细节缺失，对项目安全文明施工要求响应一般的，得6分；</w:t>
            </w:r>
          </w:p>
          <w:p w14:paraId="54AFC662">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（4）环境保护措施内容粗糙、无项目针对性，无法满足安全文明施工基本要求的，得4分；</w:t>
            </w:r>
          </w:p>
          <w:p w14:paraId="765A805B">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08FB0C56">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1D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tcMar>
              <w:top w:w="0" w:type="dxa"/>
              <w:left w:w="108" w:type="dxa"/>
              <w:bottom w:w="0" w:type="dxa"/>
              <w:right w:w="108" w:type="dxa"/>
            </w:tcMar>
            <w:vAlign w:val="center"/>
          </w:tcPr>
          <w:p w14:paraId="19E100CF">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99" w:type="dxa"/>
            <w:tcMar>
              <w:top w:w="0" w:type="dxa"/>
              <w:left w:w="108" w:type="dxa"/>
              <w:bottom w:w="0" w:type="dxa"/>
              <w:right w:w="108" w:type="dxa"/>
            </w:tcMar>
            <w:vAlign w:val="center"/>
          </w:tcPr>
          <w:p w14:paraId="67E8CFC0">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关键施工技术、重难点分析及解决方案</w:t>
            </w:r>
          </w:p>
        </w:tc>
        <w:tc>
          <w:tcPr>
            <w:tcW w:w="6554" w:type="dxa"/>
            <w:tcMar>
              <w:top w:w="0" w:type="dxa"/>
              <w:left w:w="108" w:type="dxa"/>
              <w:bottom w:w="0" w:type="dxa"/>
              <w:right w:w="108" w:type="dxa"/>
            </w:tcMar>
          </w:tcPr>
          <w:p w14:paraId="6976EEAF">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磋商小组根据供应商提供的关键施工技术、施工工艺、项目实施重点难点分析及专项解决方案综合评审：</w:t>
            </w:r>
          </w:p>
          <w:p w14:paraId="12AFAC08">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（1）关键施工技术、工艺选用科学合规，项目重难点分析全面精准，解决方案详实、针对性强，完全满足项目实施要求的，得10分；</w:t>
            </w:r>
          </w:p>
          <w:p w14:paraId="78677D6E">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（2）关键施工技术、工艺选用合理，项目重难点梳理清晰，解决方案较为具体、可落地，基本满足项目实施要求的，得8分；</w:t>
            </w:r>
          </w:p>
          <w:p w14:paraId="3543CC96">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（3）关键技术、工艺阐述简略，重难点分析不够全面，解决方案流于表面，对项目实施要求响应一般的，得6分；</w:t>
            </w:r>
          </w:p>
          <w:p w14:paraId="050C786D">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（4）关键施工技术、工艺阐述模糊，重难点分析缺失、解决方案无针对性，无法匹配项目施工需求的，得4分；</w:t>
            </w:r>
          </w:p>
          <w:p w14:paraId="4A74B095">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（5）未提供的不得分。</w:t>
            </w:r>
          </w:p>
        </w:tc>
        <w:tc>
          <w:tcPr>
            <w:tcW w:w="488" w:type="dxa"/>
            <w:tcMar>
              <w:top w:w="0" w:type="dxa"/>
              <w:left w:w="108" w:type="dxa"/>
              <w:bottom w:w="0" w:type="dxa"/>
              <w:right w:w="108" w:type="dxa"/>
            </w:tcMar>
            <w:vAlign w:val="center"/>
          </w:tcPr>
          <w:p w14:paraId="79A72CCD">
            <w:pPr>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2648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tcMar>
              <w:top w:w="0" w:type="dxa"/>
              <w:left w:w="108" w:type="dxa"/>
              <w:bottom w:w="0" w:type="dxa"/>
              <w:right w:w="108" w:type="dxa"/>
            </w:tcMar>
            <w:vAlign w:val="center"/>
          </w:tcPr>
          <w:p w14:paraId="39A912F2">
            <w:pPr>
              <w:tabs>
                <w:tab w:val="left" w:pos="426"/>
              </w:tabs>
              <w:autoSpaceDE w:val="0"/>
              <w:autoSpaceDN w:val="0"/>
              <w:adjustRightInd w:val="0"/>
              <w:spacing w:line="40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三、客观分（20分）</w:t>
            </w:r>
          </w:p>
        </w:tc>
      </w:tr>
      <w:tr w14:paraId="062B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tcMar>
              <w:top w:w="0" w:type="dxa"/>
              <w:left w:w="108" w:type="dxa"/>
              <w:bottom w:w="0" w:type="dxa"/>
              <w:right w:w="108" w:type="dxa"/>
            </w:tcMar>
            <w:vAlign w:val="center"/>
          </w:tcPr>
          <w:p w14:paraId="4A39213A">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99" w:type="dxa"/>
            <w:tcMar>
              <w:top w:w="0" w:type="dxa"/>
              <w:left w:w="108" w:type="dxa"/>
              <w:bottom w:w="0" w:type="dxa"/>
              <w:right w:w="108" w:type="dxa"/>
            </w:tcMar>
            <w:vAlign w:val="center"/>
          </w:tcPr>
          <w:p w14:paraId="0CBC9314">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业绩</w:t>
            </w:r>
          </w:p>
        </w:tc>
        <w:tc>
          <w:tcPr>
            <w:tcW w:w="6554" w:type="dxa"/>
            <w:tcMar>
              <w:top w:w="0" w:type="dxa"/>
              <w:left w:w="108" w:type="dxa"/>
              <w:bottom w:w="0" w:type="dxa"/>
              <w:right w:w="108" w:type="dxa"/>
            </w:tcMar>
            <w:vAlign w:val="center"/>
          </w:tcPr>
          <w:p w14:paraId="3963140C">
            <w:pPr>
              <w:tabs>
                <w:tab w:val="left" w:pos="426"/>
              </w:tabs>
              <w:autoSpaceDE w:val="0"/>
              <w:autoSpaceDN w:val="0"/>
              <w:adjustRightIn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供应商自2023年1月1日以来（以合同签订日期为准）承担的类似工程业绩，有一个得10分，最高得10分。</w:t>
            </w:r>
          </w:p>
          <w:p w14:paraId="2904E987">
            <w:pPr>
              <w:tabs>
                <w:tab w:val="left" w:pos="426"/>
              </w:tabs>
              <w:autoSpaceDE w:val="0"/>
              <w:autoSpaceDN w:val="0"/>
              <w:adjustRightInd w:val="0"/>
              <w:spacing w:line="400" w:lineRule="exact"/>
              <w:rPr>
                <w:rFonts w:hint="eastAsia" w:ascii="宋体" w:hAnsi="宋体" w:cs="宋体"/>
                <w:color w:val="auto"/>
                <w:sz w:val="24"/>
                <w:highlight w:val="none"/>
              </w:rPr>
            </w:pPr>
            <w:r>
              <w:rPr>
                <w:rFonts w:hint="eastAsia" w:ascii="宋体" w:hAnsi="宋体" w:cs="宋体"/>
                <w:b/>
                <w:bCs/>
                <w:color w:val="auto"/>
                <w:kern w:val="0"/>
                <w:sz w:val="24"/>
                <w:highlight w:val="none"/>
              </w:rPr>
              <w:t>注：磋商响应文件中提供中标通知书和合同并加盖供应商公章，否则不得分。</w:t>
            </w:r>
          </w:p>
        </w:tc>
        <w:tc>
          <w:tcPr>
            <w:tcW w:w="488" w:type="dxa"/>
            <w:tcMar>
              <w:top w:w="0" w:type="dxa"/>
              <w:left w:w="108" w:type="dxa"/>
              <w:bottom w:w="0" w:type="dxa"/>
              <w:right w:w="108" w:type="dxa"/>
            </w:tcMar>
            <w:vAlign w:val="center"/>
          </w:tcPr>
          <w:p w14:paraId="3C7F995D">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r>
      <w:tr w14:paraId="1D34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tcMar>
              <w:top w:w="0" w:type="dxa"/>
              <w:left w:w="108" w:type="dxa"/>
              <w:bottom w:w="0" w:type="dxa"/>
              <w:right w:w="108" w:type="dxa"/>
            </w:tcMar>
            <w:vAlign w:val="center"/>
          </w:tcPr>
          <w:p w14:paraId="4897D4C5">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99" w:type="dxa"/>
            <w:tcMar>
              <w:top w:w="0" w:type="dxa"/>
              <w:left w:w="108" w:type="dxa"/>
              <w:bottom w:w="0" w:type="dxa"/>
              <w:right w:w="108" w:type="dxa"/>
            </w:tcMar>
            <w:vAlign w:val="center"/>
          </w:tcPr>
          <w:p w14:paraId="03CA7504">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认证证书</w:t>
            </w:r>
          </w:p>
        </w:tc>
        <w:tc>
          <w:tcPr>
            <w:tcW w:w="6554" w:type="dxa"/>
            <w:tcMar>
              <w:top w:w="0" w:type="dxa"/>
              <w:left w:w="108" w:type="dxa"/>
              <w:bottom w:w="0" w:type="dxa"/>
              <w:right w:w="108" w:type="dxa"/>
            </w:tcMar>
            <w:vAlign w:val="center"/>
          </w:tcPr>
          <w:p w14:paraId="08F7E011">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供应商具有有效的质量管理体系认证证书、环境管理体系认证证书、职业健康安全管理体系认证证书的，有一个得2分，最高得6分。</w:t>
            </w:r>
          </w:p>
          <w:p w14:paraId="285B95D6">
            <w:pPr>
              <w:adjustRightInd w:val="0"/>
              <w:snapToGrid w:val="0"/>
              <w:spacing w:line="400" w:lineRule="exact"/>
              <w:rPr>
                <w:rFonts w:hint="eastAsia" w:ascii="宋体" w:hAnsi="宋体" w:cs="宋体"/>
                <w:color w:val="auto"/>
                <w:sz w:val="24"/>
                <w:highlight w:val="none"/>
              </w:rPr>
            </w:pPr>
            <w:r>
              <w:rPr>
                <w:rFonts w:hint="eastAsia" w:ascii="宋体" w:hAnsi="宋体" w:cs="宋体"/>
                <w:b/>
                <w:bCs/>
                <w:color w:val="auto"/>
                <w:kern w:val="0"/>
                <w:sz w:val="24"/>
                <w:highlight w:val="none"/>
              </w:rPr>
              <w:t>注：磋商响应文件中提供证书并加盖供应商公章，否则不得分。</w:t>
            </w:r>
          </w:p>
        </w:tc>
        <w:tc>
          <w:tcPr>
            <w:tcW w:w="488" w:type="dxa"/>
            <w:tcMar>
              <w:top w:w="0" w:type="dxa"/>
              <w:left w:w="108" w:type="dxa"/>
              <w:bottom w:w="0" w:type="dxa"/>
              <w:right w:w="108" w:type="dxa"/>
            </w:tcMar>
            <w:vAlign w:val="center"/>
          </w:tcPr>
          <w:p w14:paraId="5C900C48">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r>
      <w:tr w14:paraId="4F2A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tcMar>
              <w:top w:w="0" w:type="dxa"/>
              <w:left w:w="108" w:type="dxa"/>
              <w:bottom w:w="0" w:type="dxa"/>
              <w:right w:w="108" w:type="dxa"/>
            </w:tcMar>
            <w:vAlign w:val="center"/>
          </w:tcPr>
          <w:p w14:paraId="6F49C74C">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899" w:type="dxa"/>
            <w:tcMar>
              <w:top w:w="0" w:type="dxa"/>
              <w:left w:w="108" w:type="dxa"/>
              <w:bottom w:w="0" w:type="dxa"/>
              <w:right w:w="108" w:type="dxa"/>
            </w:tcMar>
            <w:vAlign w:val="center"/>
          </w:tcPr>
          <w:p w14:paraId="7C6FA1B2">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项目人员</w:t>
            </w:r>
          </w:p>
        </w:tc>
        <w:tc>
          <w:tcPr>
            <w:tcW w:w="6554" w:type="dxa"/>
            <w:tcMar>
              <w:top w:w="0" w:type="dxa"/>
              <w:left w:w="108" w:type="dxa"/>
              <w:bottom w:w="0" w:type="dxa"/>
              <w:right w:w="108" w:type="dxa"/>
            </w:tcMar>
            <w:vAlign w:val="center"/>
          </w:tcPr>
          <w:p w14:paraId="619B29DD">
            <w:pPr>
              <w:adjustRightInd w:val="0"/>
              <w:snapToGrid w:val="0"/>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拟投入本项目的项目人员中具有</w:t>
            </w:r>
            <w:r>
              <w:rPr>
                <w:rFonts w:hint="eastAsia" w:ascii="宋体" w:hAnsi="宋体" w:cs="宋体"/>
                <w:color w:val="auto"/>
                <w:kern w:val="0"/>
                <w:sz w:val="24"/>
                <w:highlight w:val="none"/>
                <w:lang w:val="en-US" w:eastAsia="zh-CN"/>
              </w:rPr>
              <w:t>工程类</w:t>
            </w:r>
            <w:r>
              <w:rPr>
                <w:rFonts w:hint="eastAsia" w:ascii="宋体" w:hAnsi="宋体" w:cs="宋体"/>
                <w:color w:val="auto"/>
                <w:kern w:val="0"/>
                <w:sz w:val="24"/>
                <w:highlight w:val="none"/>
              </w:rPr>
              <w:t>高级及以上职称证书的，有一个得2分；具有</w:t>
            </w:r>
            <w:r>
              <w:rPr>
                <w:rFonts w:hint="eastAsia" w:ascii="宋体" w:hAnsi="宋体" w:cs="宋体"/>
                <w:color w:val="auto"/>
                <w:kern w:val="0"/>
                <w:sz w:val="24"/>
                <w:highlight w:val="none"/>
                <w:lang w:val="en-US" w:eastAsia="zh-CN"/>
              </w:rPr>
              <w:t>工程类</w:t>
            </w:r>
            <w:r>
              <w:rPr>
                <w:rFonts w:hint="eastAsia" w:ascii="宋体" w:hAnsi="宋体" w:cs="宋体"/>
                <w:color w:val="auto"/>
                <w:kern w:val="0"/>
                <w:sz w:val="24"/>
                <w:highlight w:val="none"/>
              </w:rPr>
              <w:t>中级职称证书的，有一个得1分，同一人不重复得分，最高得4分。</w:t>
            </w:r>
          </w:p>
          <w:p w14:paraId="18A1FB66">
            <w:pPr>
              <w:adjustRightInd w:val="0"/>
              <w:snapToGrid w:val="0"/>
              <w:spacing w:line="400" w:lineRule="exac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注：磋商响应文件中提供上述人员职称证书及2026年4月至2026年6月中任意一个月供应商为上述人员缴纳的社保证明材料，并加盖供应商公章，否则不得分。</w:t>
            </w:r>
          </w:p>
        </w:tc>
        <w:tc>
          <w:tcPr>
            <w:tcW w:w="488" w:type="dxa"/>
            <w:tcMar>
              <w:top w:w="0" w:type="dxa"/>
              <w:left w:w="108" w:type="dxa"/>
              <w:bottom w:w="0" w:type="dxa"/>
              <w:right w:w="108" w:type="dxa"/>
            </w:tcMar>
            <w:vAlign w:val="center"/>
          </w:tcPr>
          <w:p w14:paraId="1936320D">
            <w:pPr>
              <w:tabs>
                <w:tab w:val="left" w:pos="426"/>
              </w:tabs>
              <w:autoSpaceDE w:val="0"/>
              <w:autoSpaceDN w:val="0"/>
              <w:adjustRightIn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r>
    </w:tbl>
    <w:p w14:paraId="3BE61F25">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注：1.评分细则中要求提供的证明文件及资料等在响应文件中提供并加盖公章，否则不得分。</w:t>
      </w:r>
    </w:p>
    <w:p w14:paraId="064596E7">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p>
    <w:p w14:paraId="36BAC1D5">
      <w:pPr>
        <w:widowControl/>
        <w:jc w:val="left"/>
        <w:rPr>
          <w:b/>
          <w:color w:val="auto"/>
          <w:sz w:val="36"/>
          <w:szCs w:val="36"/>
          <w:highlight w:val="none"/>
        </w:rPr>
      </w:pPr>
    </w:p>
    <w:p w14:paraId="35AADEC6">
      <w:pPr>
        <w:spacing w:line="360" w:lineRule="auto"/>
        <w:jc w:val="center"/>
        <w:outlineLvl w:val="0"/>
        <w:rPr>
          <w:b/>
          <w:color w:val="auto"/>
          <w:sz w:val="36"/>
          <w:szCs w:val="36"/>
          <w:highlight w:val="none"/>
        </w:rPr>
      </w:pPr>
      <w:r>
        <w:rPr>
          <w:b/>
          <w:color w:val="auto"/>
          <w:sz w:val="36"/>
          <w:szCs w:val="36"/>
          <w:highlight w:val="none"/>
        </w:rPr>
        <w:br w:type="page"/>
      </w:r>
      <w:bookmarkStart w:id="634" w:name="_Toc10818"/>
      <w:r>
        <w:rPr>
          <w:b/>
          <w:color w:val="auto"/>
          <w:sz w:val="36"/>
          <w:szCs w:val="36"/>
          <w:highlight w:val="none"/>
        </w:rPr>
        <w:t>第四章   采购需求</w:t>
      </w:r>
      <w:bookmarkEnd w:id="634"/>
    </w:p>
    <w:p w14:paraId="773115F6">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一、采购标的</w:t>
      </w:r>
    </w:p>
    <w:p w14:paraId="31247BE0">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本项目是常州卫生高等职业技术学校2026年暑期修缮项目，项目包括但不限于竞争性磋商文件及其基本技术要求范围内工程开工前的准备（包括现场踏勘、技术核对等）、技术资料、施工、技术服务、主管单位验收、</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及维保服务和竞争性磋商文件所要求的相关服务等全部内容。</w:t>
      </w:r>
    </w:p>
    <w:p w14:paraId="5FB0FD71">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1.项目预算金额：</w:t>
      </w:r>
      <w:r>
        <w:rPr>
          <w:rFonts w:hint="eastAsia" w:ascii="宋体" w:hAnsi="宋体" w:cs="宋体"/>
          <w:bCs/>
          <w:color w:val="auto"/>
          <w:sz w:val="24"/>
          <w:highlight w:val="none"/>
          <w:lang w:val="en-US" w:eastAsia="zh-CN"/>
        </w:rPr>
        <w:t>300</w:t>
      </w:r>
      <w:r>
        <w:rPr>
          <w:rFonts w:hint="eastAsia" w:ascii="宋体" w:hAnsi="宋体" w:cs="宋体"/>
          <w:bCs/>
          <w:color w:val="auto"/>
          <w:sz w:val="24"/>
          <w:highlight w:val="none"/>
        </w:rPr>
        <w:t>万元</w:t>
      </w:r>
    </w:p>
    <w:p w14:paraId="23F7B351">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2.项目最高限价：2603445.36元</w:t>
      </w:r>
    </w:p>
    <w:p w14:paraId="70A6E70A">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3.工程地点：江苏省常州市锦绣路18号。</w:t>
      </w:r>
    </w:p>
    <w:p w14:paraId="4DFA68D0">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4.质量等级要求：按国家相关验收标准，一次性验收合格。</w:t>
      </w:r>
    </w:p>
    <w:p w14:paraId="1A93C8E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5.本次采购范围：工程量清单内的全部工作内容。</w:t>
      </w:r>
    </w:p>
    <w:p w14:paraId="328F41DA">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t>二、商务要求</w:t>
      </w:r>
    </w:p>
    <w:p w14:paraId="3CDE0C4E">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1.工期</w:t>
      </w:r>
    </w:p>
    <w:p w14:paraId="2D8AEA73">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30日历天。</w:t>
      </w:r>
    </w:p>
    <w:p w14:paraId="4550F6A6">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2.付款条件</w:t>
      </w:r>
    </w:p>
    <w:p w14:paraId="3F464878">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（1）工程竣工验收合格、工程结算审计结束，支付至审定价的97%；</w:t>
      </w:r>
    </w:p>
    <w:p w14:paraId="0656FE56">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）3%质量保证金在</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满后付清(不计利息)。</w:t>
      </w:r>
    </w:p>
    <w:p w14:paraId="5267DB71">
      <w:pPr>
        <w:spacing w:line="360" w:lineRule="auto"/>
        <w:ind w:firstLine="482" w:firstLineChars="200"/>
        <w:contextualSpacing/>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3.</w:t>
      </w:r>
      <w:r>
        <w:rPr>
          <w:rFonts w:hint="eastAsia" w:ascii="宋体" w:hAnsi="宋体" w:cs="宋体"/>
          <w:b/>
          <w:color w:val="auto"/>
          <w:sz w:val="24"/>
          <w:highlight w:val="none"/>
          <w:lang w:eastAsia="zh-CN"/>
        </w:rPr>
        <w:t>缺陷责任期</w:t>
      </w:r>
    </w:p>
    <w:p w14:paraId="755A72B6">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本项目</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为</w:t>
      </w:r>
      <w:r>
        <w:rPr>
          <w:rFonts w:hint="eastAsia" w:ascii="宋体" w:hAnsi="宋体" w:cs="宋体"/>
          <w:b/>
          <w:color w:val="auto"/>
          <w:sz w:val="24"/>
          <w:highlight w:val="none"/>
        </w:rPr>
        <w:t>二年</w:t>
      </w:r>
      <w:r>
        <w:rPr>
          <w:rFonts w:hint="eastAsia" w:ascii="宋体" w:hAnsi="宋体" w:cs="宋体"/>
          <w:bCs/>
          <w:color w:val="auto"/>
          <w:sz w:val="24"/>
          <w:highlight w:val="none"/>
        </w:rPr>
        <w:t>（自验收合格之日起，开始进入</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）。成交供应商对</w:t>
      </w:r>
      <w:r>
        <w:rPr>
          <w:rFonts w:hint="eastAsia" w:ascii="宋体" w:hAnsi="宋体" w:cs="宋体"/>
          <w:bCs/>
          <w:color w:val="auto"/>
          <w:sz w:val="24"/>
          <w:highlight w:val="none"/>
          <w:lang w:eastAsia="zh-CN"/>
        </w:rPr>
        <w:t>缺陷责任期</w:t>
      </w:r>
      <w:r>
        <w:rPr>
          <w:rFonts w:hint="eastAsia" w:ascii="宋体" w:hAnsi="宋体" w:cs="宋体"/>
          <w:bCs/>
          <w:color w:val="auto"/>
          <w:sz w:val="24"/>
          <w:highlight w:val="none"/>
        </w:rPr>
        <w:t>内所发生的一切费用负责。</w:t>
      </w:r>
    </w:p>
    <w:p w14:paraId="29EFA934">
      <w:pPr>
        <w:spacing w:line="360" w:lineRule="auto"/>
        <w:contextualSpacing/>
        <w:rPr>
          <w:rFonts w:hint="eastAsia" w:ascii="宋体" w:hAnsi="宋体" w:cs="宋体"/>
          <w:b/>
          <w:color w:val="auto"/>
          <w:sz w:val="24"/>
          <w:highlight w:val="none"/>
        </w:rPr>
      </w:pPr>
      <w:r>
        <w:rPr>
          <w:rFonts w:hint="eastAsia" w:ascii="宋体" w:hAnsi="宋体" w:cs="宋体"/>
          <w:b/>
          <w:color w:val="auto"/>
          <w:sz w:val="24"/>
          <w:highlight w:val="none"/>
        </w:rPr>
        <w:t>三、技术要求</w:t>
      </w:r>
    </w:p>
    <w:p w14:paraId="6A3AF7BF">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1.工程量清单、控制价、编制说明下载地址：</w:t>
      </w:r>
    </w:p>
    <w:p w14:paraId="767220AD">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 xml:space="preserve">链接: https://pan.baidu.com/s/1L2Ct_ATeFRGM7J8EeV9jdQ </w:t>
      </w:r>
    </w:p>
    <w:p w14:paraId="51A55548">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 xml:space="preserve">提取码: bc6m </w:t>
      </w:r>
    </w:p>
    <w:p w14:paraId="5BDFF9F0">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2.其他要求</w:t>
      </w:r>
    </w:p>
    <w:p w14:paraId="3A8453AA">
      <w:pPr>
        <w:pStyle w:val="16"/>
        <w:adjustRightInd w:val="0"/>
        <w:spacing w:line="360" w:lineRule="auto"/>
        <w:ind w:firstLine="480"/>
        <w:contextualSpacing/>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w:t>
      </w:r>
    </w:p>
    <w:p w14:paraId="018A74AE">
      <w:pPr>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四、磋商报价</w:t>
      </w:r>
    </w:p>
    <w:p w14:paraId="37AAFB7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1.本工程磋商报价采用工程量清单报价。供应商应按要求提供已标价工程量清单。</w:t>
      </w:r>
    </w:p>
    <w:p w14:paraId="357E16A4">
      <w:pPr>
        <w:spacing w:line="360" w:lineRule="auto"/>
        <w:ind w:firstLine="480" w:firstLineChars="200"/>
        <w:contextualSpacing/>
        <w:rPr>
          <w:rFonts w:hint="eastAsia" w:ascii="宋体" w:hAnsi="宋体" w:cs="宋体"/>
          <w:bCs/>
          <w:color w:val="auto"/>
          <w:sz w:val="24"/>
          <w:highlight w:val="none"/>
        </w:rPr>
      </w:pPr>
      <w:r>
        <w:rPr>
          <w:rFonts w:ascii="Segoe UI Symbol" w:hAnsi="Segoe UI Symbol" w:cs="Segoe UI Symbol"/>
          <w:color w:val="auto"/>
          <w:kern w:val="0"/>
          <w:sz w:val="24"/>
          <w:highlight w:val="none"/>
        </w:rPr>
        <w:t>★</w:t>
      </w:r>
      <w:r>
        <w:rPr>
          <w:rFonts w:hint="eastAsia" w:ascii="宋体" w:hAnsi="宋体" w:cs="宋体"/>
          <w:b/>
          <w:color w:val="auto"/>
          <w:sz w:val="24"/>
          <w:highlight w:val="none"/>
        </w:rPr>
        <w:t>已标价工程量清单包括（根据最新工程量清单计价规范提供）</w:t>
      </w:r>
      <w:r>
        <w:rPr>
          <w:rFonts w:hint="eastAsia" w:ascii="宋体" w:hAnsi="宋体" w:cs="宋体"/>
          <w:bCs/>
          <w:color w:val="auto"/>
          <w:sz w:val="24"/>
          <w:highlight w:val="none"/>
        </w:rPr>
        <w:t>: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p>
    <w:p w14:paraId="4137740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2.本项目磋商报价为</w:t>
      </w:r>
      <w:r>
        <w:rPr>
          <w:rFonts w:hint="eastAsia" w:ascii="宋体" w:hAnsi="宋体" w:cs="宋体"/>
          <w:b/>
          <w:color w:val="auto"/>
          <w:sz w:val="24"/>
          <w:highlight w:val="none"/>
        </w:rPr>
        <w:t>固定综合单价</w:t>
      </w:r>
      <w:r>
        <w:rPr>
          <w:rFonts w:hint="eastAsia" w:ascii="宋体" w:hAnsi="宋体" w:cs="宋体"/>
          <w:bCs/>
          <w:color w:val="auto"/>
          <w:sz w:val="24"/>
          <w:highlight w:val="none"/>
        </w:rPr>
        <w:t>，磋商报价为供应商在磋商响应文件中提出的各项支付金额的总和。</w:t>
      </w:r>
    </w:p>
    <w:p w14:paraId="076B4AAD">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3.供应商所填报的各项基价中的各种材料单价在合同实施期间不因市场价格变化因素而变动，供应商在报综合单价时应考虑各种风险因素和自己的承受能力。</w:t>
      </w:r>
    </w:p>
    <w:p w14:paraId="3A1C7450">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4.因设计变更引起工程项目、工程量变化的，变更合同价款详见合同条款。</w:t>
      </w:r>
    </w:p>
    <w:p w14:paraId="70A6F401">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5.代理机构反对盲目压低报价。</w:t>
      </w:r>
    </w:p>
    <w:p w14:paraId="4FEBCD7D">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6.磋商报价的编制要求：</w:t>
      </w:r>
    </w:p>
    <w:p w14:paraId="24370975">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6E728732">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p>
    <w:p w14:paraId="3AB9841F">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（3）其他项目清单中的材料暂估价、暂列金额、专业工程暂估价、预留金均不能优惠，虽在开标时计入供应商的报价中，但不应视为供应商所有。</w:t>
      </w:r>
    </w:p>
    <w:p w14:paraId="7A0E75F2">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4）工程量清单是按采购人提供的设计图纸、答疑等相关说明；《建设工程工程量清单计价规范》（GB50854-2013），《通用安装工程工程量计规范》（GB50856-2013）、《江苏省建筑与装饰工程计价表2014》、《江苏省安装工程计价表2014》、《江苏省建设工程费用定额2014》、常建〔2016〕94号“关于转发苏建价〔2016〕154号《省住房城乡建设厅关于建筑业实施营改增后江苏省建设工程计价依据调整的通知》的通知”、〔2018〕第24号《省住房城乡建设厅关于调整建设工程按质论价等费用计取方法的公告》、苏建函价〔2019〕178号《省住房城乡建设厅关于调整建设工程计价增值税税率的通知》等规范、文件和要求进行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17CFB935">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p>
    <w:p w14:paraId="1700D623">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（6）供应商应按采购人提供的工程量清单填报价格，填写的项目编码、项目名称、项目特征、计量单位、工程量必须与采购人提供的一致。</w:t>
      </w:r>
    </w:p>
    <w:p w14:paraId="1623B2D1">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7）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p>
    <w:p w14:paraId="728FB4F2">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（8）磋商报价需考虑正常深化设计所引起的基层或节点变化，今后因深化设计引起的费用增加由成交供应商承担；</w:t>
      </w:r>
    </w:p>
    <w:p w14:paraId="0E1D8A86">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（9）分部分项工程量清单中项目特征描述及工作内容的描述未尽之处请详见设计图纸及技术规范要求；</w:t>
      </w:r>
    </w:p>
    <w:p w14:paraId="1E57EBA8">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（10）二级子目工程量，工程量清单项目特征描述中已提供的，供应商应按照提供工程量报价，结算时按规定进行调整；</w:t>
      </w:r>
    </w:p>
    <w:p w14:paraId="2DF84F9E">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（11）本工程所用材料均需符合绿色环保的要求且辐射值在国家规定范围之内。所有材料卸力费、上料费、保管费、配合费、二次搬运费均应考虑在综合单价中，结算时不应另外增加以上费用；</w:t>
      </w:r>
    </w:p>
    <w:p w14:paraId="2A133418">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（12）因工程变更造成施工方案变更,引起措施项目发生变化时。措施项目费进行相应的调整，详见合同条款。</w:t>
      </w:r>
    </w:p>
    <w:p w14:paraId="3DC25270">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13）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2E164BB">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7BE2562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15）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3510693E">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16）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51A23D3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17）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p>
    <w:p w14:paraId="58139B68">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7.供应商的最后报价作为评分依据，如最后报价与第一次报价不一致，则签订合同时单价根据最终报价与首次报价之比同比例下浮。</w:t>
      </w:r>
    </w:p>
    <w:p w14:paraId="033DCD9C">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★8.供应商的磋商报价高于最高限价，综合单价高于控制价单价限价的按无效响应处理。</w:t>
      </w:r>
    </w:p>
    <w:p w14:paraId="75059191">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★9.供应商必须按照工程量清单填报价格。项目编码、项目名称、项目特征、计量单位、工程量必须与工程量清单一致（供应商自行补充的措施项目除外），否则按无效响应处理。</w:t>
      </w:r>
    </w:p>
    <w:p w14:paraId="71AE54D9">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★10.其中安全文明施工费费率与工程量清单费率一致，否则按无效响应处理。</w:t>
      </w:r>
    </w:p>
    <w:p w14:paraId="47F9EC43">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★11.暂列金额应按工程量清单中列出的金额填写，否则按无效响应处理；</w:t>
      </w:r>
    </w:p>
    <w:p w14:paraId="59E9A1AD">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★12.规费和税金费率必须与工程量清单一致，否则按无效响应处理。</w:t>
      </w:r>
    </w:p>
    <w:p w14:paraId="72EC53CB">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rPr>
        <w:t>五、安全生产标准化等次考评目标及安全生产费用的提取和使用方法。</w:t>
      </w:r>
    </w:p>
    <w:p w14:paraId="6F578CCD">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按《企业安全生产费用提取和使用管理办法》(财资(2022)136号)及有关文件规定执行。</w:t>
      </w:r>
    </w:p>
    <w:p w14:paraId="0CC190A2">
      <w:pPr>
        <w:spacing w:line="360" w:lineRule="auto"/>
        <w:ind w:firstLine="480" w:firstLineChars="200"/>
        <w:contextualSpacing/>
        <w:rPr>
          <w:rFonts w:hint="eastAsia" w:ascii="宋体" w:hAnsi="宋体" w:cs="宋体"/>
          <w:bCs/>
          <w:color w:val="auto"/>
          <w:sz w:val="24"/>
          <w:highlight w:val="none"/>
        </w:rPr>
      </w:pPr>
    </w:p>
    <w:p w14:paraId="78D64993">
      <w:pPr>
        <w:spacing w:line="360" w:lineRule="auto"/>
        <w:ind w:firstLine="480" w:firstLineChars="200"/>
        <w:contextualSpacing/>
        <w:rPr>
          <w:rFonts w:hint="eastAsia" w:ascii="宋体" w:hAnsi="宋体" w:cs="宋体"/>
          <w:bCs/>
          <w:color w:val="auto"/>
          <w:sz w:val="24"/>
          <w:highlight w:val="none"/>
        </w:rPr>
        <w:sectPr>
          <w:pgSz w:w="11906" w:h="16838"/>
          <w:pgMar w:top="1440" w:right="1800" w:bottom="1440" w:left="1800" w:header="851" w:footer="992" w:gutter="0"/>
          <w:cols w:space="720" w:num="1"/>
          <w:docGrid w:type="lines" w:linePitch="312" w:charSpace="0"/>
        </w:sectPr>
      </w:pPr>
    </w:p>
    <w:p w14:paraId="4FD18B7B">
      <w:pPr>
        <w:spacing w:line="360" w:lineRule="auto"/>
        <w:contextualSpacing/>
        <w:jc w:val="center"/>
        <w:rPr>
          <w:b/>
          <w:color w:val="auto"/>
          <w:sz w:val="36"/>
          <w:szCs w:val="36"/>
          <w:highlight w:val="none"/>
        </w:rPr>
      </w:pPr>
      <w:bookmarkStart w:id="635" w:name="_Toc17556"/>
      <w:r>
        <w:rPr>
          <w:b/>
          <w:color w:val="auto"/>
          <w:sz w:val="36"/>
          <w:szCs w:val="36"/>
          <w:highlight w:val="none"/>
        </w:rPr>
        <w:t>第五章   合同草案条款</w:t>
      </w:r>
      <w:bookmarkEnd w:id="635"/>
    </w:p>
    <w:p w14:paraId="34E0C9EC">
      <w:pPr>
        <w:spacing w:line="360" w:lineRule="auto"/>
        <w:ind w:firstLine="482" w:firstLineChars="20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工程施工合同</w:t>
      </w:r>
    </w:p>
    <w:p w14:paraId="2EAF2D37">
      <w:pPr>
        <w:pStyle w:val="8"/>
        <w:spacing w:line="360" w:lineRule="auto"/>
        <w:ind w:firstLine="482" w:firstLineChars="200"/>
        <w:rPr>
          <w:rFonts w:asciiTheme="minorEastAsia" w:hAnsiTheme="minorEastAsia" w:eastAsiaTheme="minorEastAsia" w:cstheme="minorEastAsia"/>
          <w:b/>
          <w:color w:val="auto"/>
          <w:sz w:val="24"/>
          <w:szCs w:val="24"/>
          <w:highlight w:val="none"/>
          <w:lang w:val="zh-CN"/>
        </w:rPr>
      </w:pPr>
    </w:p>
    <w:p w14:paraId="11665F97">
      <w:pPr>
        <w:pStyle w:val="8"/>
        <w:spacing w:line="360" w:lineRule="auto"/>
        <w:rPr>
          <w:rFonts w:asciiTheme="minorEastAsia" w:hAnsiTheme="minorEastAsia" w:eastAsiaTheme="minorEastAsia" w:cstheme="minorEastAsia"/>
          <w:b/>
          <w:color w:val="auto"/>
          <w:sz w:val="24"/>
          <w:szCs w:val="24"/>
          <w:highlight w:val="none"/>
          <w:lang w:val="zh-CN"/>
        </w:rPr>
      </w:pPr>
      <w:r>
        <w:rPr>
          <w:rFonts w:asciiTheme="minorEastAsia" w:hAnsiTheme="minorEastAsia" w:eastAsiaTheme="minorEastAsia" w:cstheme="minorEastAsia"/>
          <w:b/>
          <w:color w:val="auto"/>
          <w:sz w:val="24"/>
          <w:szCs w:val="24"/>
          <w:highlight w:val="none"/>
          <w:lang w:val="zh-CN"/>
        </w:rPr>
        <w:t>发包人（以下称甲方）:</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4"/>
          <w:szCs w:val="24"/>
          <w:highlight w:val="none"/>
          <w:u w:val="single"/>
        </w:rPr>
        <w:t xml:space="preserve">                              </w:t>
      </w:r>
    </w:p>
    <w:p w14:paraId="1F6DD7B5">
      <w:pPr>
        <w:pStyle w:val="8"/>
        <w:spacing w:line="360" w:lineRule="auto"/>
        <w:rPr>
          <w:rFonts w:asciiTheme="minorEastAsia" w:hAnsiTheme="minorEastAsia" w:eastAsiaTheme="minorEastAsia" w:cstheme="minorEastAsia"/>
          <w:b/>
          <w:color w:val="auto"/>
          <w:sz w:val="24"/>
          <w:szCs w:val="24"/>
          <w:highlight w:val="none"/>
        </w:rPr>
      </w:pPr>
      <w:r>
        <w:rPr>
          <w:rFonts w:asciiTheme="minorEastAsia" w:hAnsiTheme="minorEastAsia" w:eastAsiaTheme="minorEastAsia" w:cstheme="minorEastAsia"/>
          <w:b/>
          <w:color w:val="auto"/>
          <w:sz w:val="24"/>
          <w:szCs w:val="24"/>
          <w:highlight w:val="none"/>
          <w:lang w:val="zh-CN"/>
        </w:rPr>
        <w:t xml:space="preserve">承包人（以下称乙方）: </w:t>
      </w:r>
      <w:r>
        <w:rPr>
          <w:rFonts w:asciiTheme="minorEastAsia" w:hAnsiTheme="minorEastAsia" w:eastAsiaTheme="minorEastAsia" w:cstheme="minorEastAsia"/>
          <w:b/>
          <w:color w:val="auto"/>
          <w:sz w:val="24"/>
          <w:szCs w:val="24"/>
          <w:highlight w:val="none"/>
          <w:u w:val="single"/>
          <w:lang w:val="zh-CN"/>
        </w:rPr>
        <w:t xml:space="preserve">                              </w:t>
      </w:r>
    </w:p>
    <w:p w14:paraId="53F908E7">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按照《中华人民共和国民法典》及有关规定，结合本工程具体情况，双方达成如下协议。</w:t>
      </w:r>
    </w:p>
    <w:p w14:paraId="13D77112">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第1条  工程概况</w:t>
      </w:r>
    </w:p>
    <w:p w14:paraId="4B196946">
      <w:pPr>
        <w:spacing w:line="360" w:lineRule="auto"/>
        <w:ind w:firstLine="480" w:firstLineChars="200"/>
        <w:jc w:val="left"/>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z w:val="24"/>
          <w:highlight w:val="none"/>
        </w:rPr>
        <w:t>1.1  工程名称：</w:t>
      </w:r>
      <w:r>
        <w:rPr>
          <w:rFonts w:hint="eastAsia" w:asciiTheme="minorEastAsia" w:hAnsiTheme="minorEastAsia" w:eastAsiaTheme="minorEastAsia" w:cstheme="minorEastAsia"/>
          <w:bCs/>
          <w:color w:val="auto"/>
          <w:spacing w:val="-6"/>
          <w:sz w:val="24"/>
          <w:highlight w:val="none"/>
          <w:u w:val="single"/>
        </w:rPr>
        <w:t xml:space="preserve">                                                    </w:t>
      </w:r>
    </w:p>
    <w:p w14:paraId="28E882F0">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  工程地点：</w:t>
      </w:r>
      <w:r>
        <w:rPr>
          <w:rFonts w:hint="eastAsia" w:asciiTheme="minorEastAsia" w:hAnsiTheme="minorEastAsia" w:eastAsiaTheme="minorEastAsia" w:cstheme="minorEastAsia"/>
          <w:color w:val="auto"/>
          <w:sz w:val="24"/>
          <w:highlight w:val="none"/>
          <w:u w:val="single"/>
        </w:rPr>
        <w:t xml:space="preserve">                                               </w:t>
      </w:r>
    </w:p>
    <w:p w14:paraId="7AF4093A">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  承包范围: </w:t>
      </w:r>
      <w:r>
        <w:rPr>
          <w:rFonts w:hint="eastAsia" w:asciiTheme="minorEastAsia" w:hAnsiTheme="minorEastAsia" w:eastAsiaTheme="minorEastAsia" w:cstheme="minorEastAsia"/>
          <w:color w:val="auto"/>
          <w:sz w:val="24"/>
          <w:highlight w:val="none"/>
          <w:u w:val="single"/>
        </w:rPr>
        <w:t xml:space="preserve">                                               </w:t>
      </w:r>
    </w:p>
    <w:p w14:paraId="7F12E051">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  承包方式: </w:t>
      </w:r>
      <w:r>
        <w:rPr>
          <w:rFonts w:hint="eastAsia" w:asciiTheme="minorEastAsia" w:hAnsiTheme="minorEastAsia" w:eastAsiaTheme="minorEastAsia" w:cstheme="minorEastAsia"/>
          <w:color w:val="auto"/>
          <w:sz w:val="24"/>
          <w:highlight w:val="none"/>
          <w:u w:val="single"/>
        </w:rPr>
        <w:t xml:space="preserve">                                               </w:t>
      </w:r>
    </w:p>
    <w:p w14:paraId="12347326">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  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日历天。</w:t>
      </w:r>
    </w:p>
    <w:p w14:paraId="013225B1">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本工程初步拟自</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日开工,于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日竣工，若约定开工日期与甲方开工令项下日期不一致的，以甲方开工令项下日期为准。</w:t>
      </w:r>
    </w:p>
    <w:p w14:paraId="7BDCA335">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  工程质量：按国家相关验收标准，一次性验收合格。</w:t>
      </w:r>
    </w:p>
    <w:p w14:paraId="5A6E1307">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  合同价款（含税价）暂定:(人民币大写)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元，(人民币小写)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元，最终以甲方审定价为准。</w:t>
      </w:r>
    </w:p>
    <w:p w14:paraId="4BDCD2C7">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第2条  甲方工作</w:t>
      </w:r>
    </w:p>
    <w:p w14:paraId="718EF0F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开工前</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天,向乙方提供经确认的施工图纸或作法说明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份,并向乙方进行现场交底。向乙方提供施工所需的水、电、气及电讯等可接入设备，并说明使用注意事项。办理施工所涉及的各种申请、批件等手续。</w:t>
      </w:r>
    </w:p>
    <w:p w14:paraId="13BEF0F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指派</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为甲方驻工地代表，负责合同履行。对工程质量、进度进行监督检查，办理验收、变更、登记手续和其他事宜。</w:t>
      </w:r>
    </w:p>
    <w:p w14:paraId="1F2E5D31">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如确实需要拆改原建筑物结构或设备管线，负责到有关部门办理相应审批手续。</w:t>
      </w:r>
    </w:p>
    <w:p w14:paraId="50B9DC25">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  协调有关部门配合乙方做好现场保卫、消防、垃圾处理等工作，该类费用已包括在相关工程量清单费用内，结算时不另计费用。</w:t>
      </w:r>
    </w:p>
    <w:p w14:paraId="053F4BE4">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第3条  乙方工作</w:t>
      </w:r>
    </w:p>
    <w:p w14:paraId="684F122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参加甲方组织的施工图纸或作法说明的现场交底，拟定施工方案和进度计划，交甲方审定。</w:t>
      </w:r>
    </w:p>
    <w:p w14:paraId="3C77BE47">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  指派</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shd w:val="clear" w:color="auto" w:fill="FFFFFF"/>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为乙方驻工地代表，负责合同履行。按要求组织施工，保质、保量、按期完成施工任务，解决由乙方负责的各项事宜。</w:t>
      </w:r>
    </w:p>
    <w:p w14:paraId="58CB8368">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  严格执行施工规范、安全操作规程、防火安全规定。严格按照图纸或作法说明进行施工，做好各项质量检查记录。参加竣工验收，编制工程结算。</w:t>
      </w:r>
    </w:p>
    <w:p w14:paraId="127D0FEA">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  服从甲方合理合法管理，按甲方要求，配合甲方做好施工进度、施工质量监管及材料进场验收（不限于以上内容）等一切与施工有关的监管工作。</w:t>
      </w:r>
    </w:p>
    <w:p w14:paraId="62D84365">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1D9E6D29">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p>
    <w:p w14:paraId="61CE6DD9">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3.7 施工中未经甲方同意或有关部门批准，不得随便拆改原建筑物结构及各种设备管线。</w:t>
      </w:r>
    </w:p>
    <w:p w14:paraId="4759014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3.8工程竣工未移交甲方之前，负责对现场的一切设施和工程成品进行保护。</w:t>
      </w:r>
    </w:p>
    <w:p w14:paraId="3C92429A">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3.9 工程完工向甲方移交工程资料。  </w:t>
      </w:r>
    </w:p>
    <w:p w14:paraId="5211F0ED">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第4条  关于工期的约定</w:t>
      </w:r>
    </w:p>
    <w:p w14:paraId="15548BEB">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  甲方要求比合同约定的工期提前竣工时，应征得乙方同意，并支付乙方因赶工采取的措施费用。</w:t>
      </w:r>
    </w:p>
    <w:p w14:paraId="67886559">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  因甲方未按约定完成工作影响工期的，工期顺延。</w:t>
      </w:r>
    </w:p>
    <w:p w14:paraId="76A5034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4.3  因乙方原因不能按期开工或中途无故停工，或乙方其他因素影响工期的，工期不得顺延。</w:t>
      </w:r>
    </w:p>
    <w:p w14:paraId="337B0BD0">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4.4  因设计变更或非乙方原因造成的停电、停水、停气及不可抗力因素，导致停工8小时以上（一周内累计计算），工期相应顺延。</w:t>
      </w:r>
    </w:p>
    <w:p w14:paraId="128108C0">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第5条  关于工程质量及验收的约定</w:t>
      </w:r>
    </w:p>
    <w:p w14:paraId="7B396D96">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  本工程以施工图纸、作法说明、设计变更和相关质量验收标准等国家制订的施工及验收规范为质量评定验收标准。</w:t>
      </w:r>
    </w:p>
    <w:p w14:paraId="652E0A67">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5.2  甲方要求乙方的竣工工程质量必须达到一次性验收合格。</w:t>
      </w:r>
    </w:p>
    <w:p w14:paraId="3251F57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p>
    <w:p w14:paraId="0D420310">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5.4  乙方负责采购的材料，应严格按采购文件要求采购，并提供产品合格证明，对材料质量负责。乙方采购的材料在使用前，应按照甲方的要求进行检验或试验，不合格的不得使用，检验或试验费用由乙方承担。</w:t>
      </w:r>
    </w:p>
    <w:p w14:paraId="387C3ED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5.5  由于甲方提供的材料、设备质量不合格而影响工程质量，其返工费用由甲方承担，工期顺延。</w:t>
      </w:r>
    </w:p>
    <w:p w14:paraId="1182FF78">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5.6  由于乙方原因造成质量事故，其损失及费用由乙方承担，工期不顺延。</w:t>
      </w:r>
    </w:p>
    <w:p w14:paraId="698F57C3">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p>
    <w:p w14:paraId="3B26C462">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第6条  关于工程价款及结算的约定</w:t>
      </w:r>
      <w:r>
        <w:rPr>
          <w:rFonts w:hint="eastAsia" w:asciiTheme="minorEastAsia" w:hAnsiTheme="minorEastAsia" w:eastAsiaTheme="minorEastAsia" w:cstheme="minorEastAsia"/>
          <w:b/>
          <w:bCs/>
          <w:color w:val="auto"/>
          <w:highlight w:val="none"/>
        </w:rPr>
        <w:tab/>
      </w:r>
    </w:p>
    <w:p w14:paraId="5948B6B2">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  双方商定本合同价款采用：</w:t>
      </w:r>
      <w:r>
        <w:rPr>
          <w:rFonts w:hint="eastAsia" w:asciiTheme="minorEastAsia" w:hAnsiTheme="minorEastAsia" w:eastAsiaTheme="minorEastAsia" w:cstheme="minorEastAsia"/>
          <w:b/>
          <w:bCs/>
          <w:color w:val="auto"/>
          <w:highlight w:val="none"/>
        </w:rPr>
        <w:t>固定综合单价合同</w:t>
      </w:r>
      <w:r>
        <w:rPr>
          <w:rFonts w:hint="eastAsia" w:asciiTheme="minorEastAsia" w:hAnsiTheme="minorEastAsia" w:eastAsiaTheme="minorEastAsia" w:cstheme="minorEastAsia"/>
          <w:color w:val="auto"/>
          <w:highlight w:val="none"/>
        </w:rPr>
        <w:t>。乙方在报价时已充分考虑人工、材料、机械等在施工期间的涨落风险，在施工过程中，合同约定不作调整。</w:t>
      </w:r>
    </w:p>
    <w:p w14:paraId="5595B55C">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6.2因设计变更引起工程项目、工程量变化的，变更工程价款按下列方法进行：</w:t>
      </w:r>
    </w:p>
    <w:p w14:paraId="6B5B7D6F">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6.2.1合同中已有适用于变更工程的价格，按合同已有的价格确定变更工程价款；</w:t>
      </w:r>
    </w:p>
    <w:p w14:paraId="2FE8048F">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6.2.2合同中只有类似于变更工程的价格，可以参照类似价格确定变更工程价款；若报价（部分单位工程）中存在若干适用的综合单价的执行最低的综合单价；</w:t>
      </w:r>
    </w:p>
    <w:p w14:paraId="7303B7E4">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p>
    <w:p w14:paraId="70B28CC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p>
    <w:p w14:paraId="0CCF9E5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6.4无工程变更时，“单价措施项目清单”按投标内容，不另新增项目。结算项目需根据实际发生情况，由乙方提出，经监理人、甲方、审计单位签证确认。</w:t>
      </w:r>
    </w:p>
    <w:p w14:paraId="13F92BD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6.5因非乙方原因的工程变更，造成施工方案或施工工法变更，引起措施项目发生变化的按实际发生变化的措施项目由乙方提出经监理人、甲方签证，甲方、审计单位确认后调整。调整办法参照6.2调整方法 。</w:t>
      </w:r>
    </w:p>
    <w:p w14:paraId="5912D913">
      <w:pPr>
        <w:spacing w:line="360" w:lineRule="auto"/>
        <w:ind w:firstLine="480" w:firstLineChars="20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6.6 本合同生效后，甲方按以下</w:t>
      </w:r>
      <w:r>
        <w:rPr>
          <w:rFonts w:hint="eastAsia" w:asciiTheme="minorEastAsia" w:hAnsiTheme="minorEastAsia" w:eastAsiaTheme="minorEastAsia" w:cstheme="minorEastAsia"/>
          <w:bCs/>
          <w:color w:val="auto"/>
          <w:sz w:val="24"/>
          <w:highlight w:val="none"/>
        </w:rPr>
        <w:t>约定支付工程款：</w:t>
      </w:r>
    </w:p>
    <w:p w14:paraId="0E393DCA">
      <w:pPr>
        <w:pStyle w:val="6"/>
        <w:spacing w:line="360" w:lineRule="auto"/>
        <w:ind w:firstLine="482" w:firstLineChars="200"/>
        <w:rPr>
          <w:rFonts w:hint="eastAsia" w:cs="宋体"/>
          <w:b/>
          <w:bCs/>
          <w:color w:val="auto"/>
          <w:highlight w:val="none"/>
          <w:u w:val="single"/>
        </w:rPr>
      </w:pPr>
      <w:r>
        <w:rPr>
          <w:rFonts w:hint="eastAsia" w:cs="宋体"/>
          <w:b/>
          <w:bCs/>
          <w:color w:val="auto"/>
          <w:highlight w:val="none"/>
          <w:u w:val="single"/>
          <w:lang w:val="en-US" w:eastAsia="zh-CN"/>
        </w:rPr>
        <w:t>6.6.1</w:t>
      </w:r>
      <w:r>
        <w:rPr>
          <w:rFonts w:hint="eastAsia" w:cs="宋体"/>
          <w:b/>
          <w:bCs/>
          <w:color w:val="auto"/>
          <w:highlight w:val="none"/>
          <w:u w:val="single"/>
        </w:rPr>
        <w:t>工程竣工验收合格、工程结算审计结束，支付至审定价的97%；</w:t>
      </w:r>
    </w:p>
    <w:p w14:paraId="74C16430">
      <w:pPr>
        <w:pStyle w:val="6"/>
        <w:spacing w:line="360" w:lineRule="auto"/>
        <w:ind w:firstLine="482" w:firstLineChars="200"/>
        <w:rPr>
          <w:rFonts w:hint="eastAsia" w:cs="宋体"/>
          <w:b/>
          <w:bCs/>
          <w:color w:val="auto"/>
          <w:highlight w:val="none"/>
        </w:rPr>
      </w:pPr>
      <w:r>
        <w:rPr>
          <w:rFonts w:hint="eastAsia" w:cs="宋体"/>
          <w:b/>
          <w:bCs/>
          <w:color w:val="auto"/>
          <w:highlight w:val="none"/>
          <w:u w:val="single"/>
          <w:lang w:val="en-US" w:eastAsia="zh-CN"/>
        </w:rPr>
        <w:t xml:space="preserve">6.6.2 </w:t>
      </w:r>
      <w:r>
        <w:rPr>
          <w:rFonts w:hint="eastAsia" w:cs="宋体"/>
          <w:b/>
          <w:bCs/>
          <w:color w:val="auto"/>
          <w:highlight w:val="none"/>
          <w:u w:val="single"/>
        </w:rPr>
        <w:t>3%质量保证金在缺陷责任期满后付清(不计利息)。</w:t>
      </w:r>
    </w:p>
    <w:p w14:paraId="3A2D879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6.6.5余款3%（审定价）作为质保金。甲方在工程竣工验收满</w:t>
      </w:r>
      <w:r>
        <w:rPr>
          <w:rFonts w:hint="eastAsia" w:asciiTheme="minorEastAsia" w:hAnsiTheme="minorEastAsia" w:eastAsiaTheme="minorEastAsia" w:cstheme="minorEastAsia"/>
          <w:color w:val="auto"/>
          <w:sz w:val="24"/>
          <w:highlight w:val="none"/>
          <w:u w:val="single"/>
        </w:rPr>
        <w:t xml:space="preserve">    年</w:t>
      </w:r>
      <w:r>
        <w:rPr>
          <w:rFonts w:hint="eastAsia" w:asciiTheme="minorEastAsia" w:hAnsiTheme="minorEastAsia" w:eastAsiaTheme="minorEastAsia" w:cstheme="minorEastAsia"/>
          <w:color w:val="auto"/>
          <w:sz w:val="24"/>
          <w:highlight w:val="none"/>
        </w:rPr>
        <w:t>后，无息退还审定价3%的质保金（其中应扣除</w:t>
      </w:r>
      <w:r>
        <w:rPr>
          <w:rFonts w:hint="eastAsia" w:asciiTheme="minorEastAsia" w:hAnsiTheme="minorEastAsia" w:eastAsiaTheme="minorEastAsia" w:cstheme="minorEastAsia"/>
          <w:color w:val="auto"/>
          <w:sz w:val="24"/>
          <w:highlight w:val="none"/>
          <w:u w:val="single"/>
        </w:rPr>
        <w:t xml:space="preserve">    年</w:t>
      </w:r>
      <w:r>
        <w:rPr>
          <w:rFonts w:hint="eastAsia" w:asciiTheme="minorEastAsia" w:hAnsiTheme="minorEastAsia" w:eastAsiaTheme="minorEastAsia" w:cstheme="minorEastAsia"/>
          <w:color w:val="auto"/>
          <w:sz w:val="24"/>
          <w:highlight w:val="none"/>
          <w:u w:val="single"/>
          <w:lang w:eastAsia="zh-CN"/>
        </w:rPr>
        <w:t>缺陷责任期</w:t>
      </w:r>
      <w:r>
        <w:rPr>
          <w:rFonts w:hint="eastAsia" w:asciiTheme="minorEastAsia" w:hAnsiTheme="minorEastAsia" w:eastAsiaTheme="minorEastAsia" w:cstheme="minorEastAsia"/>
          <w:color w:val="auto"/>
          <w:sz w:val="24"/>
          <w:highlight w:val="none"/>
        </w:rPr>
        <w:t>内发生的应由乙方承担的费用）。</w:t>
      </w:r>
    </w:p>
    <w:p w14:paraId="7FB772F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6.6.6 结算审计核减率</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%以内，全部审计费用由甲方承担；超出</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%部分的审计费用由乙方承担。</w:t>
      </w:r>
    </w:p>
    <w:p w14:paraId="3BC22FA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6.6.7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p>
    <w:p w14:paraId="23AB86F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6.6.8付款前，乙方向甲方提供增值税发票，甲方按单位签票流程付款，具体到款时间以单位签票流程为准。</w:t>
      </w:r>
    </w:p>
    <w:p w14:paraId="06659564">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第7条  关于材料供应的约定</w:t>
      </w:r>
    </w:p>
    <w:p w14:paraId="0220C0C6">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p>
    <w:p w14:paraId="3D901C2F">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7.2  凡由乙方采购的材料、设备，如不符合质量要求或规格差异，应禁止使用。若已使用，对工程造成的损失由乙方负责。</w:t>
      </w:r>
    </w:p>
    <w:p w14:paraId="5C96100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7.3施工所需的水、电、电讯线路乙方自行解决，所产生的费用已包含在工程总价中，乙方应将施工所产生的水、电及其他费用按实支付甲方。</w:t>
      </w:r>
    </w:p>
    <w:p w14:paraId="03F14B3D">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第8条  有关安全生产和防火的约定</w:t>
      </w:r>
    </w:p>
    <w:p w14:paraId="5AE01835">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甲方提供的施工图纸或作法说明，应符合《中华人民共和国消防法》和有关防火设计规范。</w:t>
      </w:r>
    </w:p>
    <w:p w14:paraId="620D9A2B">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乙方在施工期间应严格遵守《中华人民共和国建筑法》、《建设工程质量管理条例》、《建设工程安全生产管理条例》、《建筑安装工人安全技术操作规程》、《中华人民共和国消防法》和其他相关的法规、规范。</w:t>
      </w:r>
    </w:p>
    <w:p w14:paraId="3EE0598F">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由于甲方确认的图纸或作法说明，违反有关安全操作规程、消防条例和防火设计规范，乙方应在施工前及时书面提出。</w:t>
      </w:r>
    </w:p>
    <w:p w14:paraId="3FD8990B">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8.4  由于乙方在施工生产过程中违反有关安全操作规程、消防条例，导致发生安全或火灾事故，乙方应承担由此引发的一切经济损失及相关法律责任。</w:t>
      </w:r>
    </w:p>
    <w:p w14:paraId="73740985">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第9条  违约责任</w:t>
      </w:r>
    </w:p>
    <w:p w14:paraId="459E1AF1">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p>
    <w:p w14:paraId="5D7C717B">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9.2  由于甲方原因导致延期开工或中途停工，工期顺延。甲方不按合同的约定支付款项，每拖期一天，按应付款额的 0.2‰支付违约金，以合同金额的5%为限。</w:t>
      </w:r>
    </w:p>
    <w:p w14:paraId="0A1A650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9.3 工期延误处罚：乙方因自身原因未能在承诺工期内完成招标范围内的全部工程内容，则按延误合同工期的天数承担（分部分项工程费+单价措施项目费-工程设备费）的0.2‰/天的逾期竣工违约金，以合同金额的5%为限。</w:t>
      </w:r>
    </w:p>
    <w:p w14:paraId="31A2CC95">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p>
    <w:p w14:paraId="4D8F4074">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9.5甲方未办理任何手续，擅自同意拆改原有建筑物结构或设备管线，由此发生的损失或事故（包括罚款），由甲方负责并承担损失。</w:t>
      </w:r>
    </w:p>
    <w:p w14:paraId="0BA87132">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9.6 未经甲方同意，乙方擅自拆改原建筑物结构或设备管线，由此发生的损失或事故（包括罚款），由乙方负责并承担损失。</w:t>
      </w:r>
    </w:p>
    <w:p w14:paraId="580B307A">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9.7 未办理验收手续，甲方提前使用或擅自动用，造成损失由甲方负责。</w:t>
      </w:r>
    </w:p>
    <w:p w14:paraId="28858DA7">
      <w:pPr>
        <w:pStyle w:val="6"/>
        <w:spacing w:before="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9.8 因一方原因致使本合同无法继续履行时，其应通知对方，办理合同终止协议，并由责任方赔偿对方由此造成的经济损失。</w:t>
      </w:r>
    </w:p>
    <w:p w14:paraId="1B69E34E">
      <w:pPr>
        <w:pStyle w:val="6"/>
        <w:spacing w:before="0" w:line="360" w:lineRule="auto"/>
        <w:ind w:firstLine="48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9.9甲方、监理人对项目经理的到场情况进行考勤，如其未做到（包括未到或迟到早退），乙方承担2000元/人•次的违约金。项目经理必须亲自参加每次现场工地例会、专题例会（确有情况无法参加时，应得到甲方代表的同意），如未做到（包括未到或迟到早退），乙方承担2000元/人•次的违约金。上述违约金从结算工程款中扣除。</w:t>
      </w:r>
    </w:p>
    <w:p w14:paraId="4A47A24E">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第10条  争议的解决方式</w:t>
      </w:r>
    </w:p>
    <w:p w14:paraId="392A5E7B">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因履行本合同发生争议协商解决不成的，向甲方所在地人民法院提起诉讼。</w:t>
      </w:r>
    </w:p>
    <w:p w14:paraId="29776DDA">
      <w:pPr>
        <w:tabs>
          <w:tab w:val="left" w:pos="993"/>
        </w:tabs>
        <w:spacing w:line="360" w:lineRule="auto"/>
        <w:ind w:firstLine="482" w:firstLineChars="200"/>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第11条  其它约定:</w:t>
      </w:r>
    </w:p>
    <w:p w14:paraId="65BDFD83">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11.1工程施工过程中所有需要在合同价外另行增加费用的内容均须事先征得甲方的书面同意，事先办理书面确认手续或执行甲方的书面指令。否则一概不予结算，即使存有事实，也是作为乙方对甲方的让利。</w:t>
      </w:r>
    </w:p>
    <w:p w14:paraId="44B38912">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11.2工程施工监督、竣工验收工作由甲方负责组织实施，甲方对工程施工的监督不减轻或免除乙方应承担的工程质量、工期、安全等责任。</w:t>
      </w:r>
    </w:p>
    <w:p w14:paraId="369E4265">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11.3乙方必须注意确保安全生产、文明施工；如发生违法乱纪及人身伤亡等事故，一切责任均由乙方负责。</w:t>
      </w:r>
    </w:p>
    <w:p w14:paraId="7065E1C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11.4补充图纸和指示：甲方有权向乙方发出任何图纸变更或指令，乙方应无条件遵照执行。</w:t>
      </w:r>
    </w:p>
    <w:p w14:paraId="0F9354E8">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11.5乙方应实事求是地递交工程结算资料，如工程结算经审计审核后累计核减率大于6%时，6%以外的核减由乙方承担审计服务酬金，在工程结算款中扣除。 </w:t>
      </w:r>
    </w:p>
    <w:p w14:paraId="222CF205">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11.6乙方在施工全过程中，必须有针对性措施做好成品保护、垃圾清运。该类费用已包括在相关工程量清单费用内，结算时不另计费用。</w:t>
      </w:r>
    </w:p>
    <w:p w14:paraId="314D63F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11.7工程施工不得影响项目所在地的正常秩序，包括施工作业带来的噪音、烟雾、振动、扬尘等，该类费用已包括在相关工程量清单费用内，结算时不另计费用。</w:t>
      </w:r>
    </w:p>
    <w:p w14:paraId="0100AC69">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11.8方案预先申报，同时有应急预案。</w:t>
      </w:r>
    </w:p>
    <w:p w14:paraId="11E2FC08">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11.9乙方必须安全、文明施工，乙方承担安全事故的一切责任。</w:t>
      </w:r>
    </w:p>
    <w:p w14:paraId="4BEB881D">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11.10施工过程中必须满足“政府令〔2021〕14号常州市扬尘污染防治管理办法”相关规定，相关费用在投标报价中考虑，结算时按投标费率不调整。</w:t>
      </w:r>
    </w:p>
    <w:p w14:paraId="25D1914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11.11因疫情防控等影响造成的相关措施费用的投入，相关费用在投标报价中考虑，结算时按投标费率不调整。</w:t>
      </w:r>
    </w:p>
    <w:p w14:paraId="73BEE638">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11.12如因施工过程中对本工程范围外设施造成损坏，必须原样恢复并承担相应的恢复费用。乙方必须将相应费用包含在投标报价中，结算时不另计算也不作任何调整。</w:t>
      </w:r>
    </w:p>
    <w:p w14:paraId="7D92F098">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11.13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p>
    <w:p w14:paraId="0924F9F9">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11.14其他未尽事宜详见采购文件。</w:t>
      </w:r>
    </w:p>
    <w:p w14:paraId="6A967795">
      <w:pPr>
        <w:tabs>
          <w:tab w:val="left" w:pos="993"/>
        </w:tabs>
        <w:spacing w:line="360" w:lineRule="auto"/>
        <w:ind w:firstLine="482" w:firstLineChars="200"/>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第12条  附则</w:t>
      </w:r>
    </w:p>
    <w:p w14:paraId="29767CD3">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12.1  </w:t>
      </w:r>
      <w:r>
        <w:rPr>
          <w:rFonts w:hint="eastAsia" w:asciiTheme="minorEastAsia" w:hAnsiTheme="minorEastAsia" w:eastAsiaTheme="minorEastAsia" w:cstheme="minorEastAsia"/>
          <w:color w:val="auto"/>
          <w:sz w:val="24"/>
          <w:highlight w:val="none"/>
          <w:lang w:eastAsia="zh-CN"/>
        </w:rPr>
        <w:t>缺陷责任期</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年，自经甲方验收合格之日起算。保修方法参照国家及地方相关规定执行。</w:t>
      </w:r>
      <w:r>
        <w:rPr>
          <w:rFonts w:hint="eastAsia" w:asciiTheme="minorEastAsia" w:hAnsiTheme="minorEastAsia" w:eastAsiaTheme="minorEastAsia" w:cstheme="minorEastAsia"/>
          <w:color w:val="auto"/>
          <w:sz w:val="24"/>
          <w:highlight w:val="none"/>
          <w:lang w:eastAsia="zh-CN"/>
        </w:rPr>
        <w:t>缺陷责任期</w:t>
      </w:r>
      <w:r>
        <w:rPr>
          <w:rFonts w:hint="eastAsia" w:asciiTheme="minorEastAsia" w:hAnsiTheme="minorEastAsia" w:eastAsiaTheme="minorEastAsia" w:cstheme="minorEastAsia"/>
          <w:color w:val="auto"/>
          <w:sz w:val="24"/>
          <w:highlight w:val="none"/>
        </w:rPr>
        <w:t>内，因工程质量问题造成的人身、财产损失的费用和责任由乙方承担。</w:t>
      </w:r>
    </w:p>
    <w:p w14:paraId="419F817F">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12.2  本合同一式柒份，甲方执肆份，乙方执贰份，见证方壹份。</w:t>
      </w:r>
    </w:p>
    <w:p w14:paraId="1F37AC9F">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12.3  本合同履行完成后自动终止。</w:t>
      </w:r>
    </w:p>
    <w:p w14:paraId="35E60E2E">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第13条 诚实信用 </w:t>
      </w:r>
    </w:p>
    <w:p w14:paraId="55BAB9F3">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乙方应诚实信用，严格按照文件要求和投标承诺履行合同，不向甲方进行商业贿赂或者提供不正当利益。</w:t>
      </w:r>
    </w:p>
    <w:p w14:paraId="777C84CD">
      <w:pPr>
        <w:pStyle w:val="6"/>
        <w:spacing w:before="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第14条 合同生效及其他</w:t>
      </w:r>
    </w:p>
    <w:p w14:paraId="7EFFB164">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本合同自经甲乙双方法定代表人或授权代表签字并加盖公章后，自签订之日起生效。</w:t>
      </w:r>
    </w:p>
    <w:p w14:paraId="3245528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p>
    <w:p w14:paraId="287BA8A3">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甲方：                               乙方：</w:t>
      </w:r>
    </w:p>
    <w:p w14:paraId="2B013368">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单位名称（章）：                      单位名称（章）：                                           </w:t>
      </w:r>
    </w:p>
    <w:p w14:paraId="681DED7A">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单位地址：                           单位地址：                                        </w:t>
      </w:r>
    </w:p>
    <w:p w14:paraId="5F2C533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                         法定代表人：</w:t>
      </w:r>
    </w:p>
    <w:p w14:paraId="42811C0E">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授权代表人：                         授权代表人：</w:t>
      </w:r>
    </w:p>
    <w:p w14:paraId="6E1E0BF7">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                               电话：                                        </w:t>
      </w:r>
    </w:p>
    <w:p w14:paraId="11BDFC7E">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开户银行：                           开户银行：                                        </w:t>
      </w:r>
    </w:p>
    <w:p w14:paraId="408C27B1">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帐号：                               帐号：</w:t>
      </w:r>
    </w:p>
    <w:p w14:paraId="5BDB9ACC">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             日期：    年    月    日  </w:t>
      </w:r>
    </w:p>
    <w:p w14:paraId="12CE7AB9">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p>
    <w:p w14:paraId="1646D34A">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p>
    <w:p w14:paraId="36248DAF">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见证方： </w:t>
      </w:r>
    </w:p>
    <w:p w14:paraId="335C3736">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代理机构（章）： </w:t>
      </w:r>
    </w:p>
    <w:p w14:paraId="73BED4C7">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经办人：                     电话：</w:t>
      </w:r>
    </w:p>
    <w:p w14:paraId="7AF5BF0A">
      <w:pPr>
        <w:tabs>
          <w:tab w:val="left" w:pos="993"/>
        </w:tabs>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                        </w:t>
      </w:r>
    </w:p>
    <w:p w14:paraId="40AEE070">
      <w:pPr>
        <w:autoSpaceDE w:val="0"/>
        <w:autoSpaceDN w:val="0"/>
        <w:adjustRightInd w:val="0"/>
        <w:spacing w:line="360" w:lineRule="auto"/>
        <w:jc w:val="left"/>
        <w:rPr>
          <w:rFonts w:hint="eastAsia" w:ascii="宋体" w:hAnsi="宋体" w:cs="宋体"/>
          <w:color w:val="auto"/>
          <w:kern w:val="0"/>
          <w:sz w:val="24"/>
          <w:highlight w:val="none"/>
        </w:rPr>
      </w:pPr>
    </w:p>
    <w:p w14:paraId="0FE501A1">
      <w:pPr>
        <w:spacing w:line="360" w:lineRule="auto"/>
        <w:rPr>
          <w:rFonts w:hint="eastAsia" w:ascii="宋体" w:hAnsi="宋体" w:cs="宋体"/>
          <w:color w:val="auto"/>
          <w:sz w:val="24"/>
          <w:highlight w:val="none"/>
        </w:rPr>
      </w:pPr>
    </w:p>
    <w:p w14:paraId="5F7C4844">
      <w:pPr>
        <w:pStyle w:val="4"/>
        <w:rPr>
          <w:color w:val="auto"/>
          <w:highlight w:val="none"/>
        </w:rPr>
        <w:sectPr>
          <w:pgSz w:w="11906" w:h="16838"/>
          <w:pgMar w:top="1440" w:right="1800" w:bottom="1440" w:left="1800" w:header="851" w:footer="992" w:gutter="0"/>
          <w:cols w:space="720" w:num="1"/>
          <w:docGrid w:type="lines" w:linePitch="312" w:charSpace="0"/>
        </w:sectPr>
      </w:pPr>
    </w:p>
    <w:p w14:paraId="3DED3D2F">
      <w:pPr>
        <w:spacing w:line="360" w:lineRule="auto"/>
        <w:outlineLvl w:val="1"/>
        <w:rPr>
          <w:rFonts w:hint="eastAsia" w:ascii="宋体" w:hAnsi="宋体" w:cs="宋体"/>
          <w:color w:val="auto"/>
          <w:sz w:val="24"/>
          <w:highlight w:val="none"/>
        </w:rPr>
      </w:pPr>
      <w:bookmarkStart w:id="636" w:name="_Toc1831685531"/>
      <w:bookmarkStart w:id="637" w:name="_Toc732104650"/>
      <w:bookmarkStart w:id="638" w:name="_Toc298211660"/>
      <w:r>
        <w:rPr>
          <w:rFonts w:hint="eastAsia" w:ascii="宋体" w:hAnsi="宋体" w:cs="宋体"/>
          <w:color w:val="auto"/>
          <w:sz w:val="24"/>
          <w:highlight w:val="none"/>
        </w:rPr>
        <w:t>附件</w:t>
      </w:r>
      <w:bookmarkEnd w:id="636"/>
      <w:bookmarkEnd w:id="637"/>
      <w:bookmarkEnd w:id="638"/>
      <w:r>
        <w:rPr>
          <w:rFonts w:hint="eastAsia" w:ascii="宋体" w:hAnsi="宋体" w:cs="宋体"/>
          <w:color w:val="auto"/>
          <w:sz w:val="24"/>
          <w:highlight w:val="none"/>
        </w:rPr>
        <w:t>1</w:t>
      </w:r>
    </w:p>
    <w:p w14:paraId="5150FDCE">
      <w:pPr>
        <w:autoSpaceDE w:val="0"/>
        <w:autoSpaceDN w:val="0"/>
        <w:adjustRightInd w:val="0"/>
        <w:spacing w:line="240" w:lineRule="atLeast"/>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工程质量保修书</w:t>
      </w:r>
    </w:p>
    <w:p w14:paraId="2B25977C">
      <w:pPr>
        <w:spacing w:line="360" w:lineRule="auto"/>
        <w:ind w:firstLine="42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发包人(全称)：</w:t>
      </w:r>
      <w:r>
        <w:rPr>
          <w:rFonts w:hint="eastAsia" w:ascii="宋体" w:hAnsi="宋体" w:cs="宋体"/>
          <w:color w:val="auto"/>
          <w:kern w:val="0"/>
          <w:sz w:val="24"/>
          <w:highlight w:val="none"/>
          <w:u w:val="single"/>
        </w:rPr>
        <w:t xml:space="preserve"> 常州卫生高等职业技术学校 </w:t>
      </w:r>
    </w:p>
    <w:p w14:paraId="5C314D1B">
      <w:pPr>
        <w:autoSpaceDE w:val="0"/>
        <w:autoSpaceDN w:val="0"/>
        <w:adjustRightInd w:val="0"/>
        <w:spacing w:line="360" w:lineRule="auto"/>
        <w:ind w:firstLine="480" w:firstLineChars="20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承包人(全称)：</w:t>
      </w:r>
      <w:r>
        <w:rPr>
          <w:rFonts w:hint="eastAsia" w:ascii="宋体" w:hAnsi="宋体" w:cs="宋体"/>
          <w:b/>
          <w:bCs/>
          <w:color w:val="auto"/>
          <w:spacing w:val="5"/>
          <w:kern w:val="0"/>
          <w:sz w:val="24"/>
          <w:highlight w:val="none"/>
          <w:u w:val="single"/>
        </w:rPr>
        <w:t xml:space="preserve">                         </w:t>
      </w:r>
    </w:p>
    <w:p w14:paraId="6A67F593">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发包人和承包人根据《中华人民共和国建筑法》和《建设工程质量管理条例》，经协商一致就</w:t>
      </w:r>
      <w:r>
        <w:rPr>
          <w:rFonts w:hint="eastAsia" w:ascii="宋体" w:hAnsi="宋体" w:cs="宋体"/>
          <w:color w:val="auto"/>
          <w:kern w:val="0"/>
          <w:sz w:val="24"/>
          <w:highlight w:val="none"/>
          <w:u w:val="single"/>
        </w:rPr>
        <w:t xml:space="preserve"> 常州卫生高等职业技术学校2026年暑期修缮项目 </w:t>
      </w:r>
      <w:r>
        <w:rPr>
          <w:rFonts w:hint="eastAsia" w:ascii="宋体" w:hAnsi="宋体" w:cs="宋体"/>
          <w:color w:val="auto"/>
          <w:kern w:val="0"/>
          <w:sz w:val="24"/>
          <w:highlight w:val="none"/>
        </w:rPr>
        <w:t>签订工程质量保修书。</w:t>
      </w:r>
    </w:p>
    <w:p w14:paraId="3144F067">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一、工程质量保修范围和内容</w:t>
      </w:r>
    </w:p>
    <w:p w14:paraId="3CC77DC1">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承包人在质量保修期内，按照有关法律规定和合同约定，承担工程质量保修责任。</w:t>
      </w:r>
    </w:p>
    <w:p w14:paraId="4C3022E3">
      <w:pPr>
        <w:autoSpaceDE w:val="0"/>
        <w:autoSpaceDN w:val="0"/>
        <w:adjustRightInd w:val="0"/>
        <w:spacing w:line="360" w:lineRule="auto"/>
        <w:ind w:firstLine="480" w:firstLineChars="20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kern w:val="0"/>
          <w:sz w:val="24"/>
          <w:highlight w:val="none"/>
          <w:u w:val="single"/>
        </w:rPr>
        <w:t>按合同承包范围内容。</w:t>
      </w:r>
    </w:p>
    <w:p w14:paraId="6DB74D22">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二、质量保修期</w:t>
      </w:r>
    </w:p>
    <w:p w14:paraId="2C16F60F">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根据《建设工程质量管理条例》及有关规定，工程的质量保修期如下：</w:t>
      </w:r>
    </w:p>
    <w:p w14:paraId="07EA55B9">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1.地基基础工程和主体结构工程为设计文件规定的该工程合理使用年限；</w:t>
      </w:r>
    </w:p>
    <w:p w14:paraId="43E75D7E">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2.屋面防水工程、有防水要求的卫生间、房间和外墙面的防渗漏为</w:t>
      </w:r>
      <w:r>
        <w:rPr>
          <w:rFonts w:hint="eastAsia" w:ascii="宋体" w:hAnsi="宋体" w:cs="宋体"/>
          <w:color w:val="auto"/>
          <w:kern w:val="0"/>
          <w:sz w:val="24"/>
          <w:highlight w:val="none"/>
          <w:u w:val="single"/>
        </w:rPr>
        <w:t xml:space="preserve">  伍  </w:t>
      </w:r>
      <w:r>
        <w:rPr>
          <w:rFonts w:hint="eastAsia" w:ascii="宋体" w:hAnsi="宋体" w:cs="宋体"/>
          <w:color w:val="auto"/>
          <w:kern w:val="0"/>
          <w:sz w:val="24"/>
          <w:highlight w:val="none"/>
        </w:rPr>
        <w:t>年；</w:t>
      </w:r>
    </w:p>
    <w:p w14:paraId="1DFA88F6">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3.装修工程为</w:t>
      </w:r>
      <w:r>
        <w:rPr>
          <w:rFonts w:hint="eastAsia" w:ascii="宋体" w:hAnsi="宋体" w:cs="宋体"/>
          <w:color w:val="auto"/>
          <w:kern w:val="0"/>
          <w:sz w:val="24"/>
          <w:highlight w:val="none"/>
          <w:u w:val="single"/>
        </w:rPr>
        <w:t xml:space="preserve">   贰   </w:t>
      </w:r>
      <w:r>
        <w:rPr>
          <w:rFonts w:hint="eastAsia" w:ascii="宋体" w:hAnsi="宋体" w:cs="宋体"/>
          <w:color w:val="auto"/>
          <w:kern w:val="0"/>
          <w:sz w:val="24"/>
          <w:highlight w:val="none"/>
        </w:rPr>
        <w:t>年；</w:t>
      </w:r>
    </w:p>
    <w:p w14:paraId="2F650535">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4.电气管线、给排水管道、设备安装工程为</w:t>
      </w:r>
      <w:r>
        <w:rPr>
          <w:rFonts w:hint="eastAsia" w:ascii="宋体" w:hAnsi="宋体" w:cs="宋体"/>
          <w:color w:val="auto"/>
          <w:kern w:val="0"/>
          <w:sz w:val="24"/>
          <w:highlight w:val="none"/>
          <w:u w:val="single"/>
        </w:rPr>
        <w:t xml:space="preserve">   贰   </w:t>
      </w:r>
      <w:r>
        <w:rPr>
          <w:rFonts w:hint="eastAsia" w:ascii="宋体" w:hAnsi="宋体" w:cs="宋体"/>
          <w:color w:val="auto"/>
          <w:kern w:val="0"/>
          <w:sz w:val="24"/>
          <w:highlight w:val="none"/>
        </w:rPr>
        <w:t>年；</w:t>
      </w:r>
    </w:p>
    <w:p w14:paraId="518592CD">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5.供热与供冷系统为</w:t>
      </w:r>
      <w:r>
        <w:rPr>
          <w:rFonts w:hint="eastAsia" w:ascii="宋体" w:hAnsi="宋体" w:cs="宋体"/>
          <w:color w:val="auto"/>
          <w:kern w:val="0"/>
          <w:sz w:val="24"/>
          <w:highlight w:val="none"/>
          <w:u w:val="single"/>
        </w:rPr>
        <w:t xml:space="preserve">   贰  </w:t>
      </w:r>
      <w:r>
        <w:rPr>
          <w:rFonts w:hint="eastAsia" w:ascii="宋体" w:hAnsi="宋体" w:cs="宋体"/>
          <w:color w:val="auto"/>
          <w:kern w:val="0"/>
          <w:sz w:val="24"/>
          <w:highlight w:val="none"/>
        </w:rPr>
        <w:t>个采暖期、供冷期；</w:t>
      </w:r>
    </w:p>
    <w:p w14:paraId="0C5DA66E">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6.住宅小区内的给排水设施、道路等配套工程为</w:t>
      </w:r>
      <w:r>
        <w:rPr>
          <w:rFonts w:hint="eastAsia" w:ascii="宋体" w:hAnsi="宋体" w:cs="宋体"/>
          <w:color w:val="auto"/>
          <w:kern w:val="0"/>
          <w:sz w:val="24"/>
          <w:highlight w:val="none"/>
          <w:u w:val="single"/>
        </w:rPr>
        <w:t xml:space="preserve">   /   </w:t>
      </w:r>
      <w:r>
        <w:rPr>
          <w:rFonts w:hint="eastAsia" w:ascii="宋体" w:hAnsi="宋体" w:cs="宋体"/>
          <w:color w:val="auto"/>
          <w:kern w:val="0"/>
          <w:sz w:val="24"/>
          <w:highlight w:val="none"/>
        </w:rPr>
        <w:t>年；</w:t>
      </w:r>
    </w:p>
    <w:p w14:paraId="7FC68946">
      <w:pPr>
        <w:spacing w:line="360" w:lineRule="auto"/>
        <w:ind w:firstLine="480" w:firstLineChars="20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7.其他项目保修期限约定如下：</w:t>
      </w:r>
      <w:r>
        <w:rPr>
          <w:rFonts w:hint="eastAsia" w:ascii="宋体" w:hAnsi="宋体" w:cs="宋体"/>
          <w:color w:val="auto"/>
          <w:kern w:val="0"/>
          <w:sz w:val="24"/>
          <w:highlight w:val="none"/>
          <w:u w:val="single"/>
        </w:rPr>
        <w:t xml:space="preserve">  /  </w:t>
      </w:r>
    </w:p>
    <w:p w14:paraId="7E8D2EEC">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三、缺陷责任期</w:t>
      </w:r>
    </w:p>
    <w:p w14:paraId="094E148A">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工程缺陷责任期为</w:t>
      </w:r>
      <w:r>
        <w:rPr>
          <w:rFonts w:hint="eastAsia" w:ascii="宋体" w:hAnsi="宋体" w:cs="宋体"/>
          <w:color w:val="auto"/>
          <w:kern w:val="0"/>
          <w:sz w:val="24"/>
          <w:highlight w:val="none"/>
          <w:u w:val="single"/>
        </w:rPr>
        <w:t xml:space="preserve"> 24 </w:t>
      </w:r>
      <w:r>
        <w:rPr>
          <w:rFonts w:hint="eastAsia" w:ascii="宋体" w:hAnsi="宋体" w:cs="宋体"/>
          <w:color w:val="auto"/>
          <w:kern w:val="0"/>
          <w:sz w:val="24"/>
          <w:highlight w:val="none"/>
        </w:rPr>
        <w:t>个月，缺陷责任期自工程竣工验收合格之日起计算。单位工程先于全部工程进行验收，单位工程缺陷责任期自单位工程验收合格之日起算。</w:t>
      </w:r>
    </w:p>
    <w:p w14:paraId="1376AEE7">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四、质量保修责任</w:t>
      </w:r>
    </w:p>
    <w:p w14:paraId="4B20934F">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1.属于保修范围、内容的项目，承包人应当在接到保修通知之日起7天内派人保修。</w:t>
      </w:r>
    </w:p>
    <w:p w14:paraId="3BC00ACD">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承包人不在约定期限内派人保修的，发包人可以委托他人修理。</w:t>
      </w:r>
    </w:p>
    <w:p w14:paraId="516B30CA">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2.发生紧急事故需抢修的，承包人在接到事故通知后，应当立即到达事故现场抢修。</w:t>
      </w:r>
    </w:p>
    <w:p w14:paraId="183B98D1">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1623ED3">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4.质量保修完成后，由发包人组织验收。</w:t>
      </w:r>
    </w:p>
    <w:p w14:paraId="711107A1">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五、保修费用</w:t>
      </w:r>
    </w:p>
    <w:p w14:paraId="355EA9AB">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保修费用由造成质量缺陷的责任方承担。</w:t>
      </w:r>
    </w:p>
    <w:p w14:paraId="0B9FDA78">
      <w:pPr>
        <w:autoSpaceDE w:val="0"/>
        <w:autoSpaceDN w:val="0"/>
        <w:adjustRightInd w:val="0"/>
        <w:spacing w:line="360" w:lineRule="auto"/>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六、双方约定的其他工程质量保修事项：</w:t>
      </w:r>
    </w:p>
    <w:p w14:paraId="0E8CDCCD">
      <w:pPr>
        <w:autoSpaceDE w:val="0"/>
        <w:autoSpaceDN w:val="0"/>
        <w:adjustRightInd w:val="0"/>
        <w:spacing w:line="360" w:lineRule="auto"/>
        <w:ind w:firstLine="480" w:firstLineChars="20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CFF6895">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工程质量保修书由发包人、承包人在工程竣工验收前共同签署，作为施工合同附件，其有效期限至保修期满。</w:t>
      </w:r>
    </w:p>
    <w:p w14:paraId="7D5BFA3C">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p>
    <w:p w14:paraId="4C9BD565">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发包人(公章)： 　                            承包人(公章)： 　</w:t>
      </w:r>
    </w:p>
    <w:p w14:paraId="11565870">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　　址：                                 　地　　址：</w:t>
      </w:r>
    </w:p>
    <w:p w14:paraId="388B84DF">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法定代表人(签字)：                           法定代表人(签字)：</w:t>
      </w:r>
    </w:p>
    <w:p w14:paraId="5B754417">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委托代理人(签字)：                           委托代理人(签字)：</w:t>
      </w:r>
    </w:p>
    <w:p w14:paraId="3CC20178">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电　　话：                                 　电　　话：　</w:t>
      </w:r>
    </w:p>
    <w:p w14:paraId="79BF2DA2">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传　　真： 　                                传　　真：　</w:t>
      </w:r>
    </w:p>
    <w:p w14:paraId="3646A646">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开户银行： 　                                开户银行：</w:t>
      </w:r>
    </w:p>
    <w:p w14:paraId="4F65A02C">
      <w:pPr>
        <w:autoSpaceDE w:val="0"/>
        <w:autoSpaceDN w:val="0"/>
        <w:adjustRightIn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账　　号： 　                                账　　号： </w:t>
      </w:r>
    </w:p>
    <w:p w14:paraId="08BEA289">
      <w:pPr>
        <w:autoSpaceDE w:val="0"/>
        <w:autoSpaceDN w:val="0"/>
        <w:adjustRightIn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kern w:val="0"/>
          <w:sz w:val="24"/>
          <w:highlight w:val="none"/>
        </w:rPr>
        <w:t>邮政编码： 　                                邮政编码：　</w:t>
      </w:r>
    </w:p>
    <w:p w14:paraId="146E207D">
      <w:pPr>
        <w:spacing w:line="360" w:lineRule="auto"/>
        <w:rPr>
          <w:rFonts w:hint="eastAsia" w:ascii="宋体" w:hAnsi="宋体" w:cs="宋体"/>
          <w:color w:val="auto"/>
          <w:sz w:val="24"/>
          <w:highlight w:val="none"/>
        </w:rPr>
      </w:pPr>
    </w:p>
    <w:p w14:paraId="5FE11028">
      <w:pPr>
        <w:pStyle w:val="4"/>
        <w:rPr>
          <w:color w:val="auto"/>
          <w:highlight w:val="none"/>
        </w:rPr>
        <w:sectPr>
          <w:pgSz w:w="11906" w:h="16838"/>
          <w:pgMar w:top="1440" w:right="1800" w:bottom="1440" w:left="1800" w:header="851" w:footer="992" w:gutter="0"/>
          <w:cols w:space="720" w:num="1"/>
          <w:docGrid w:type="lines" w:linePitch="312" w:charSpace="0"/>
        </w:sectPr>
      </w:pPr>
    </w:p>
    <w:p w14:paraId="5835C9F0">
      <w:pPr>
        <w:widowControl/>
        <w:jc w:val="center"/>
        <w:outlineLvl w:val="0"/>
        <w:rPr>
          <w:b/>
          <w:color w:val="auto"/>
          <w:sz w:val="36"/>
          <w:szCs w:val="36"/>
          <w:highlight w:val="none"/>
        </w:rPr>
      </w:pPr>
      <w:bookmarkStart w:id="639" w:name="_Toc11016"/>
      <w:r>
        <w:rPr>
          <w:b/>
          <w:color w:val="auto"/>
          <w:sz w:val="36"/>
          <w:szCs w:val="36"/>
          <w:highlight w:val="none"/>
        </w:rPr>
        <w:t>第六章   响应文件格式</w:t>
      </w:r>
      <w:bookmarkEnd w:id="639"/>
    </w:p>
    <w:p w14:paraId="2290DC3F">
      <w:pPr>
        <w:widowControl/>
        <w:spacing w:line="360" w:lineRule="auto"/>
        <w:jc w:val="left"/>
        <w:rPr>
          <w:b/>
          <w:color w:val="auto"/>
          <w:sz w:val="24"/>
          <w:highlight w:val="none"/>
        </w:rPr>
      </w:pPr>
    </w:p>
    <w:p w14:paraId="2A5E317B">
      <w:pPr>
        <w:widowControl/>
        <w:spacing w:line="360" w:lineRule="auto"/>
        <w:jc w:val="left"/>
        <w:rPr>
          <w:b/>
          <w:color w:val="auto"/>
          <w:sz w:val="24"/>
          <w:highlight w:val="none"/>
        </w:rPr>
      </w:pPr>
    </w:p>
    <w:p w14:paraId="7A9D184B">
      <w:pPr>
        <w:tabs>
          <w:tab w:val="left" w:pos="900"/>
          <w:tab w:val="left" w:pos="1980"/>
        </w:tabs>
        <w:snapToGrid w:val="0"/>
        <w:spacing w:line="360" w:lineRule="auto"/>
        <w:ind w:left="142"/>
        <w:rPr>
          <w:b/>
          <w:color w:val="auto"/>
          <w:kern w:val="0"/>
          <w:sz w:val="24"/>
          <w:highlight w:val="none"/>
        </w:rPr>
      </w:pPr>
      <w:r>
        <w:rPr>
          <w:rFonts w:hint="eastAsia"/>
          <w:b/>
          <w:color w:val="auto"/>
          <w:kern w:val="0"/>
          <w:sz w:val="24"/>
          <w:highlight w:val="none"/>
        </w:rPr>
        <w:t>供应商编制文件须知</w:t>
      </w:r>
    </w:p>
    <w:p w14:paraId="77B9E290">
      <w:pPr>
        <w:tabs>
          <w:tab w:val="left" w:pos="900"/>
          <w:tab w:val="left" w:pos="1980"/>
        </w:tabs>
        <w:snapToGrid w:val="0"/>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3135AF1E">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对于竞争性磋商文件中标记了“实质性格式”文件的，供应商</w:t>
      </w:r>
      <w:r>
        <w:rPr>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rPr>
        <w:t>否则响应无效</w:t>
      </w:r>
      <w:r>
        <w:rPr>
          <w:color w:val="auto"/>
          <w:kern w:val="0"/>
          <w:sz w:val="24"/>
          <w:highlight w:val="none"/>
        </w:rPr>
        <w:t>。未标记“实质性格式”的文件和竞争性磋商文件未提供格式的内容，可由供应商自行编写。</w:t>
      </w:r>
    </w:p>
    <w:p w14:paraId="738BCEAA">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5843582">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4C05AFD7">
      <w:pPr>
        <w:tabs>
          <w:tab w:val="left" w:pos="900"/>
          <w:tab w:val="left" w:pos="1980"/>
        </w:tabs>
        <w:snapToGrid w:val="0"/>
        <w:spacing w:line="360" w:lineRule="auto"/>
        <w:ind w:left="142"/>
        <w:rPr>
          <w:color w:val="auto"/>
          <w:sz w:val="24"/>
          <w:highlight w:val="none"/>
        </w:rPr>
      </w:pPr>
    </w:p>
    <w:p w14:paraId="1137AF5D">
      <w:pPr>
        <w:widowControl/>
        <w:jc w:val="left"/>
        <w:rPr>
          <w:color w:val="auto"/>
          <w:sz w:val="24"/>
          <w:highlight w:val="none"/>
        </w:rPr>
      </w:pPr>
      <w:r>
        <w:rPr>
          <w:color w:val="auto"/>
          <w:sz w:val="24"/>
          <w:highlight w:val="none"/>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204F379D">
      <w:pPr>
        <w:rPr>
          <w:b/>
          <w:color w:val="auto"/>
          <w:spacing w:val="20"/>
          <w:szCs w:val="21"/>
          <w:highlight w:val="none"/>
        </w:rPr>
      </w:pPr>
    </w:p>
    <w:p w14:paraId="1A1537B0">
      <w:pPr>
        <w:rPr>
          <w:b/>
          <w:color w:val="auto"/>
          <w:sz w:val="24"/>
          <w:highlight w:val="none"/>
        </w:rPr>
      </w:pPr>
      <w:r>
        <w:rPr>
          <w:b/>
          <w:color w:val="auto"/>
          <w:spacing w:val="20"/>
          <w:sz w:val="24"/>
          <w:highlight w:val="none"/>
        </w:rPr>
        <w:t>响应文件</w:t>
      </w:r>
      <w:r>
        <w:rPr>
          <w:b/>
          <w:color w:val="auto"/>
          <w:sz w:val="24"/>
          <w:highlight w:val="none"/>
        </w:rPr>
        <w:t>封面（非实质性格式）</w:t>
      </w:r>
    </w:p>
    <w:p w14:paraId="3B061083">
      <w:pPr>
        <w:jc w:val="center"/>
        <w:rPr>
          <w:color w:val="auto"/>
          <w:szCs w:val="21"/>
          <w:highlight w:val="none"/>
        </w:rPr>
      </w:pPr>
    </w:p>
    <w:p w14:paraId="72B4468E">
      <w:pPr>
        <w:jc w:val="center"/>
        <w:rPr>
          <w:b/>
          <w:color w:val="auto"/>
          <w:spacing w:val="60"/>
          <w:sz w:val="84"/>
          <w:szCs w:val="84"/>
          <w:highlight w:val="none"/>
        </w:rPr>
      </w:pPr>
      <w:r>
        <w:rPr>
          <w:b/>
          <w:color w:val="auto"/>
          <w:spacing w:val="60"/>
          <w:sz w:val="84"/>
          <w:szCs w:val="84"/>
          <w:highlight w:val="none"/>
        </w:rPr>
        <w:t>响 应 文 件</w:t>
      </w:r>
    </w:p>
    <w:p w14:paraId="0903B50B">
      <w:pPr>
        <w:jc w:val="center"/>
        <w:rPr>
          <w:b/>
          <w:color w:val="auto"/>
          <w:spacing w:val="60"/>
          <w:sz w:val="52"/>
          <w:szCs w:val="52"/>
          <w:highlight w:val="none"/>
        </w:rPr>
      </w:pPr>
    </w:p>
    <w:p w14:paraId="6E45196C">
      <w:pPr>
        <w:ind w:firstLine="542" w:firstLineChars="150"/>
        <w:rPr>
          <w:b/>
          <w:color w:val="auto"/>
          <w:spacing w:val="20"/>
          <w:sz w:val="32"/>
          <w:szCs w:val="32"/>
          <w:highlight w:val="none"/>
        </w:rPr>
      </w:pPr>
    </w:p>
    <w:p w14:paraId="6BED2770">
      <w:pPr>
        <w:ind w:firstLine="542" w:firstLineChars="150"/>
        <w:rPr>
          <w:b/>
          <w:color w:val="auto"/>
          <w:spacing w:val="20"/>
          <w:sz w:val="32"/>
          <w:szCs w:val="32"/>
          <w:highlight w:val="none"/>
        </w:rPr>
      </w:pPr>
    </w:p>
    <w:p w14:paraId="040EE06A">
      <w:pPr>
        <w:ind w:firstLine="1084" w:firstLineChars="300"/>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49C3E533">
      <w:pPr>
        <w:ind w:firstLine="1084" w:firstLineChars="300"/>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B3CB32F">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p>
    <w:p w14:paraId="62B31439">
      <w:pPr>
        <w:rPr>
          <w:rFonts w:hint="eastAsia"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0B1BBC2E">
      <w:pPr>
        <w:jc w:val="center"/>
        <w:rPr>
          <w:b/>
          <w:color w:val="auto"/>
          <w:sz w:val="32"/>
          <w:szCs w:val="32"/>
          <w:highlight w:val="none"/>
        </w:rPr>
      </w:pPr>
    </w:p>
    <w:p w14:paraId="420EF2A6">
      <w:pPr>
        <w:rPr>
          <w:b/>
          <w:color w:val="auto"/>
          <w:highlight w:val="none"/>
        </w:rPr>
      </w:pPr>
      <w:r>
        <w:rPr>
          <w:b/>
          <w:color w:val="auto"/>
          <w:spacing w:val="20"/>
          <w:sz w:val="32"/>
          <w:szCs w:val="32"/>
          <w:highlight w:val="none"/>
        </w:rPr>
        <w:br w:type="page"/>
      </w:r>
    </w:p>
    <w:p w14:paraId="527F9E26">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04E2FB77">
      <w:pPr>
        <w:pStyle w:val="2"/>
        <w:rPr>
          <w:rFonts w:ascii="Times New Roman"/>
          <w:b w:val="0"/>
          <w:bCs/>
          <w:color w:val="auto"/>
          <w:highlight w:val="none"/>
          <w:u w:val="none"/>
        </w:rPr>
      </w:pPr>
      <w:r>
        <w:rPr>
          <w:rFonts w:ascii="Times New Roman"/>
          <w:b w:val="0"/>
          <w:color w:val="auto"/>
          <w:highlight w:val="none"/>
          <w:u w:val="none"/>
        </w:rPr>
        <w:t>1-</w:t>
      </w:r>
      <w:r>
        <w:rPr>
          <w:rFonts w:hint="eastAsia" w:ascii="Times New Roman"/>
          <w:b w:val="0"/>
          <w:color w:val="auto"/>
          <w:highlight w:val="none"/>
          <w:u w:val="none"/>
        </w:rPr>
        <w:t>1</w:t>
      </w:r>
      <w:r>
        <w:rPr>
          <w:rFonts w:ascii="Times New Roman"/>
          <w:b w:val="0"/>
          <w:color w:val="auto"/>
          <w:highlight w:val="none"/>
          <w:u w:val="none"/>
        </w:rPr>
        <w:t xml:space="preserve"> 供应商资格声明</w:t>
      </w:r>
      <w:r>
        <w:rPr>
          <w:rFonts w:hint="eastAsia" w:ascii="Times New Roman"/>
          <w:b w:val="0"/>
          <w:color w:val="auto"/>
          <w:highlight w:val="none"/>
          <w:u w:val="none"/>
        </w:rPr>
        <w:t>函</w:t>
      </w:r>
      <w:r>
        <w:rPr>
          <w:rFonts w:ascii="Times New Roman"/>
          <w:b w:val="0"/>
          <w:color w:val="auto"/>
          <w:highlight w:val="none"/>
          <w:u w:val="none"/>
        </w:rPr>
        <w:t>（实质性格式）</w:t>
      </w:r>
    </w:p>
    <w:p w14:paraId="12D5A7AD">
      <w:pPr>
        <w:widowControl/>
        <w:adjustRightInd w:val="0"/>
        <w:snapToGrid w:val="0"/>
        <w:spacing w:before="120" w:beforeLines="50" w:line="360" w:lineRule="auto"/>
        <w:jc w:val="center"/>
        <w:rPr>
          <w:rFonts w:hint="eastAsia" w:ascii="宋体" w:hAnsi="宋体" w:cs="宋体"/>
          <w:b/>
          <w:color w:val="auto"/>
          <w:sz w:val="28"/>
          <w:szCs w:val="28"/>
          <w:highlight w:val="none"/>
        </w:rPr>
      </w:pPr>
    </w:p>
    <w:p w14:paraId="298E481A">
      <w:pPr>
        <w:widowControl/>
        <w:adjustRightInd w:val="0"/>
        <w:snapToGrid w:val="0"/>
        <w:spacing w:before="120" w:beforeLines="50" w:line="360" w:lineRule="auto"/>
        <w:jc w:val="center"/>
        <w:rPr>
          <w:rFonts w:hint="eastAsia" w:ascii="宋体" w:hAnsi="宋体" w:cs="宋体"/>
          <w:color w:val="auto"/>
          <w:szCs w:val="21"/>
          <w:highlight w:val="none"/>
        </w:rPr>
      </w:pPr>
      <w:r>
        <w:rPr>
          <w:rFonts w:hint="eastAsia" w:ascii="宋体" w:hAnsi="宋体" w:cs="宋体"/>
          <w:b/>
          <w:color w:val="auto"/>
          <w:sz w:val="28"/>
          <w:szCs w:val="28"/>
          <w:highlight w:val="none"/>
        </w:rPr>
        <w:t>供应商资格声明函</w:t>
      </w:r>
    </w:p>
    <w:p w14:paraId="5270E662">
      <w:pPr>
        <w:pStyle w:val="3"/>
        <w:spacing w:line="460" w:lineRule="exact"/>
        <w:ind w:firstLine="480"/>
        <w:rPr>
          <w:color w:val="auto"/>
          <w:highlight w:val="none"/>
        </w:rPr>
      </w:pPr>
    </w:p>
    <w:p w14:paraId="50432EBE">
      <w:pPr>
        <w:pStyle w:val="3"/>
        <w:spacing w:line="460" w:lineRule="exact"/>
        <w:ind w:firstLine="480"/>
        <w:rPr>
          <w:color w:val="auto"/>
          <w:highlight w:val="none"/>
        </w:rPr>
      </w:pPr>
      <w:r>
        <w:rPr>
          <w:rFonts w:hint="eastAsia"/>
          <w:color w:val="auto"/>
          <w:highlight w:val="none"/>
        </w:rPr>
        <w:t>致：江苏尚阳工程管理有限公司</w:t>
      </w:r>
    </w:p>
    <w:p w14:paraId="3C651381">
      <w:pPr>
        <w:pStyle w:val="3"/>
        <w:spacing w:line="460" w:lineRule="exact"/>
        <w:ind w:firstLine="960" w:firstLineChars="400"/>
        <w:rPr>
          <w:color w:val="auto"/>
          <w:highlight w:val="none"/>
          <w:u w:val="single"/>
        </w:rPr>
      </w:pPr>
      <w:r>
        <w:rPr>
          <w:rFonts w:hint="eastAsia"/>
          <w:color w:val="auto"/>
          <w:highlight w:val="none"/>
          <w:u w:val="single"/>
        </w:rPr>
        <w:t>（采购人名称）</w:t>
      </w:r>
    </w:p>
    <w:p w14:paraId="0CAA0599">
      <w:pPr>
        <w:pStyle w:val="3"/>
        <w:spacing w:line="460" w:lineRule="exact"/>
        <w:ind w:firstLine="480"/>
        <w:rPr>
          <w:color w:val="auto"/>
          <w:highlight w:val="none"/>
        </w:rPr>
      </w:pPr>
    </w:p>
    <w:p w14:paraId="71A567DD">
      <w:pPr>
        <w:pStyle w:val="3"/>
        <w:spacing w:line="460" w:lineRule="exact"/>
        <w:ind w:firstLine="480"/>
        <w:rPr>
          <w:color w:val="auto"/>
          <w:highlight w:val="none"/>
        </w:rPr>
      </w:pPr>
      <w:r>
        <w:rPr>
          <w:rFonts w:hint="eastAsia"/>
          <w:color w:val="auto"/>
          <w:highlight w:val="none"/>
        </w:rPr>
        <w:t>按照《中华人民共和国政府采购法》第二十二条和磋商文件的规定，我单位郑重声明如下：</w:t>
      </w:r>
    </w:p>
    <w:p w14:paraId="718E8CB5">
      <w:pPr>
        <w:pStyle w:val="3"/>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04B8ECAD">
      <w:pPr>
        <w:pStyle w:val="3"/>
        <w:spacing w:line="460" w:lineRule="exact"/>
        <w:ind w:firstLine="480"/>
        <w:rPr>
          <w:color w:val="auto"/>
          <w:highlight w:val="none"/>
        </w:rPr>
      </w:pPr>
      <w:r>
        <w:rPr>
          <w:rFonts w:hint="eastAsia"/>
          <w:color w:val="auto"/>
          <w:highlight w:val="none"/>
        </w:rPr>
        <w:t>二、我单位未被“国家企业信用信息系统”列入经营异常名录或者严重违法企业名单。</w:t>
      </w:r>
    </w:p>
    <w:p w14:paraId="455C5222">
      <w:pPr>
        <w:pStyle w:val="3"/>
        <w:spacing w:line="460" w:lineRule="exact"/>
        <w:ind w:firstLine="480"/>
        <w:rPr>
          <w:color w:val="auto"/>
          <w:highlight w:val="none"/>
        </w:rPr>
      </w:pPr>
      <w:r>
        <w:rPr>
          <w:rFonts w:hint="eastAsia"/>
          <w:color w:val="auto"/>
          <w:highlight w:val="none"/>
        </w:rPr>
        <w:t>三、我单位具有良好的商业信誉（指供应商经营状况良好，无本资格声明第十条情形）和健全的财务会计制度。</w:t>
      </w:r>
    </w:p>
    <w:p w14:paraId="01C7BF6B">
      <w:pPr>
        <w:pStyle w:val="3"/>
        <w:spacing w:line="460" w:lineRule="exact"/>
        <w:ind w:firstLine="480"/>
        <w:rPr>
          <w:color w:val="auto"/>
          <w:highlight w:val="none"/>
        </w:rPr>
      </w:pPr>
      <w:r>
        <w:rPr>
          <w:rFonts w:hint="eastAsia"/>
          <w:color w:val="auto"/>
          <w:highlight w:val="none"/>
        </w:rPr>
        <w:t>四、我单位依法进行纳税和社会保险申报并实际履行了义务。</w:t>
      </w:r>
    </w:p>
    <w:p w14:paraId="67070FE9">
      <w:pPr>
        <w:pStyle w:val="3"/>
        <w:spacing w:line="460" w:lineRule="exact"/>
        <w:ind w:firstLine="480"/>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14FA45A6">
      <w:pPr>
        <w:pStyle w:val="3"/>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604EC047">
      <w:pPr>
        <w:pStyle w:val="3"/>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48334EDE">
      <w:pPr>
        <w:pStyle w:val="3"/>
        <w:spacing w:line="460" w:lineRule="exact"/>
        <w:ind w:firstLine="480"/>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36563C7">
      <w:pPr>
        <w:pStyle w:val="3"/>
        <w:spacing w:line="460" w:lineRule="exact"/>
        <w:ind w:firstLine="480"/>
        <w:rPr>
          <w:color w:val="auto"/>
          <w:highlight w:val="none"/>
        </w:rPr>
      </w:pPr>
      <w:r>
        <w:rPr>
          <w:rFonts w:hint="eastAsia"/>
          <w:color w:val="auto"/>
          <w:highlight w:val="none"/>
        </w:rPr>
        <w:t>七、我单位具备法律、行政法规规定的其他条件。</w:t>
      </w:r>
    </w:p>
    <w:p w14:paraId="13B1ADED">
      <w:pPr>
        <w:pStyle w:val="3"/>
        <w:spacing w:line="460" w:lineRule="exact"/>
        <w:ind w:firstLine="480"/>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226A0E7A">
      <w:pPr>
        <w:pStyle w:val="3"/>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9BA2CB2">
      <w:pPr>
        <w:pStyle w:val="3"/>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5651825A">
      <w:pPr>
        <w:pStyle w:val="3"/>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1002A0CC">
      <w:pPr>
        <w:pStyle w:val="3"/>
        <w:spacing w:line="460" w:lineRule="exact"/>
        <w:ind w:firstLine="480"/>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4FDF6D61">
      <w:pPr>
        <w:pStyle w:val="3"/>
        <w:spacing w:line="460" w:lineRule="exact"/>
        <w:ind w:firstLine="480"/>
        <w:rPr>
          <w:color w:val="auto"/>
          <w:highlight w:val="none"/>
        </w:rPr>
      </w:pPr>
      <w:r>
        <w:rPr>
          <w:rFonts w:hint="eastAsia"/>
          <w:color w:val="auto"/>
          <w:highlight w:val="none"/>
        </w:rPr>
        <w:t>十、</w:t>
      </w:r>
      <w:r>
        <w:rPr>
          <w:color w:val="auto"/>
          <w:highlight w:val="none"/>
        </w:rPr>
        <w:t>我单位无以下不良信用记录情形：</w:t>
      </w:r>
    </w:p>
    <w:p w14:paraId="4973EFB7">
      <w:pPr>
        <w:pStyle w:val="3"/>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7FC01246">
      <w:pPr>
        <w:pStyle w:val="3"/>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0689FC9F">
      <w:pPr>
        <w:pStyle w:val="3"/>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76AD1688">
      <w:pPr>
        <w:pStyle w:val="3"/>
        <w:spacing w:line="460" w:lineRule="exact"/>
        <w:ind w:firstLine="480"/>
        <w:rPr>
          <w:color w:val="auto"/>
          <w:highlight w:val="none"/>
        </w:rPr>
      </w:pPr>
    </w:p>
    <w:p w14:paraId="69465724">
      <w:pPr>
        <w:pStyle w:val="3"/>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4A89E41B">
      <w:pPr>
        <w:pStyle w:val="3"/>
        <w:spacing w:line="460" w:lineRule="exact"/>
        <w:ind w:firstLine="480"/>
        <w:rPr>
          <w:color w:val="auto"/>
          <w:highlight w:val="none"/>
        </w:rPr>
      </w:pPr>
    </w:p>
    <w:p w14:paraId="2700CC75">
      <w:pPr>
        <w:pStyle w:val="3"/>
        <w:spacing w:line="460" w:lineRule="exact"/>
        <w:ind w:firstLine="480"/>
        <w:rPr>
          <w:color w:val="auto"/>
          <w:highlight w:val="none"/>
        </w:rPr>
      </w:pPr>
    </w:p>
    <w:p w14:paraId="64B06684">
      <w:pPr>
        <w:pStyle w:val="3"/>
        <w:spacing w:line="460" w:lineRule="exact"/>
        <w:ind w:firstLine="480"/>
        <w:rPr>
          <w:color w:val="auto"/>
          <w:highlight w:val="none"/>
        </w:rPr>
      </w:pPr>
      <w:r>
        <w:rPr>
          <w:rFonts w:hint="eastAsia"/>
          <w:color w:val="auto"/>
          <w:highlight w:val="none"/>
        </w:rPr>
        <w:t>                                            供应商：（加盖公章）</w:t>
      </w:r>
    </w:p>
    <w:p w14:paraId="5E59B0C4">
      <w:pPr>
        <w:pStyle w:val="3"/>
        <w:spacing w:line="460" w:lineRule="exact"/>
        <w:ind w:firstLine="480"/>
        <w:rPr>
          <w:color w:val="auto"/>
          <w:highlight w:val="none"/>
        </w:rPr>
      </w:pPr>
      <w:r>
        <w:rPr>
          <w:rFonts w:hint="eastAsia"/>
          <w:color w:val="auto"/>
          <w:highlight w:val="none"/>
        </w:rPr>
        <w:t>                                           法定代表人（或单位负责人）签字或盖章：</w:t>
      </w:r>
    </w:p>
    <w:p w14:paraId="31DF2EBD">
      <w:pPr>
        <w:pStyle w:val="3"/>
        <w:spacing w:line="460" w:lineRule="exact"/>
        <w:ind w:firstLine="4920" w:firstLineChars="2050"/>
        <w:rPr>
          <w:color w:val="auto"/>
          <w:highlight w:val="none"/>
        </w:rPr>
      </w:pPr>
      <w:r>
        <w:rPr>
          <w:rFonts w:hint="eastAsia"/>
          <w:color w:val="auto"/>
          <w:highlight w:val="none"/>
        </w:rPr>
        <w:t>日期：    年    月    日</w:t>
      </w:r>
    </w:p>
    <w:p w14:paraId="5A10D2D7">
      <w:pPr>
        <w:spacing w:line="360" w:lineRule="auto"/>
        <w:rPr>
          <w:color w:val="auto"/>
          <w:sz w:val="24"/>
          <w:highlight w:val="none"/>
        </w:rPr>
      </w:pPr>
    </w:p>
    <w:p w14:paraId="52755533">
      <w:pPr>
        <w:spacing w:line="360" w:lineRule="auto"/>
        <w:rPr>
          <w:color w:val="auto"/>
          <w:sz w:val="24"/>
          <w:highlight w:val="none"/>
        </w:rPr>
      </w:pPr>
    </w:p>
    <w:p w14:paraId="7A527039">
      <w:pPr>
        <w:spacing w:line="360" w:lineRule="auto"/>
        <w:rPr>
          <w:color w:val="auto"/>
          <w:sz w:val="24"/>
          <w:highlight w:val="none"/>
        </w:rPr>
      </w:pPr>
    </w:p>
    <w:p w14:paraId="47A82DB9">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19EEE528">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7CD9E5ED">
      <w:pPr>
        <w:spacing w:line="360" w:lineRule="auto"/>
        <w:outlineLvl w:val="2"/>
        <w:rPr>
          <w:color w:val="auto"/>
          <w:sz w:val="24"/>
          <w:szCs w:val="20"/>
          <w:highlight w:val="none"/>
        </w:rPr>
      </w:pPr>
      <w:r>
        <w:rPr>
          <w:color w:val="auto"/>
          <w:sz w:val="24"/>
          <w:szCs w:val="20"/>
          <w:highlight w:val="none"/>
        </w:rPr>
        <w:t>2 落实政府采购政策需满足的资格要求</w:t>
      </w:r>
    </w:p>
    <w:p w14:paraId="4E56B05B">
      <w:pPr>
        <w:spacing w:line="360" w:lineRule="auto"/>
        <w:outlineLvl w:val="2"/>
        <w:rPr>
          <w:color w:val="auto"/>
          <w:sz w:val="24"/>
          <w:szCs w:val="20"/>
          <w:highlight w:val="none"/>
        </w:rPr>
      </w:pPr>
      <w:r>
        <w:rPr>
          <w:color w:val="auto"/>
          <w:sz w:val="24"/>
          <w:szCs w:val="20"/>
          <w:highlight w:val="none"/>
        </w:rPr>
        <w:t>2-1 中小企业声明函</w:t>
      </w:r>
    </w:p>
    <w:p w14:paraId="6EB86541">
      <w:pPr>
        <w:tabs>
          <w:tab w:val="left" w:pos="5580"/>
        </w:tabs>
        <w:spacing w:line="360" w:lineRule="auto"/>
        <w:rPr>
          <w:color w:val="auto"/>
          <w:sz w:val="24"/>
          <w:highlight w:val="none"/>
        </w:rPr>
      </w:pPr>
      <w:r>
        <w:rPr>
          <w:rFonts w:hint="eastAsia"/>
          <w:color w:val="auto"/>
          <w:sz w:val="24"/>
          <w:highlight w:val="none"/>
        </w:rPr>
        <w:t>说明：</w:t>
      </w:r>
    </w:p>
    <w:p w14:paraId="3311526B">
      <w:pPr>
        <w:tabs>
          <w:tab w:val="left" w:pos="5580"/>
        </w:tabs>
        <w:spacing w:line="360" w:lineRule="auto"/>
        <w:rPr>
          <w:color w:val="auto"/>
          <w:sz w:val="24"/>
          <w:highlight w:val="none"/>
        </w:rPr>
      </w:pPr>
      <w:r>
        <w:rPr>
          <w:color w:val="auto"/>
          <w:sz w:val="24"/>
          <w:highlight w:val="none"/>
        </w:rPr>
        <w:t>（1）本项目专门面向中小企业采购，须提供《中小企业声明函》</w:t>
      </w:r>
      <w:r>
        <w:rPr>
          <w:color w:val="auto"/>
          <w:sz w:val="24"/>
          <w:szCs w:val="20"/>
          <w:highlight w:val="none"/>
        </w:rPr>
        <w:t>（实质性格式）</w:t>
      </w:r>
      <w:r>
        <w:rPr>
          <w:color w:val="auto"/>
          <w:sz w:val="24"/>
          <w:highlight w:val="none"/>
        </w:rPr>
        <w:t>。</w:t>
      </w:r>
    </w:p>
    <w:p w14:paraId="3A93AA9D">
      <w:pPr>
        <w:tabs>
          <w:tab w:val="left" w:pos="5580"/>
        </w:tabs>
        <w:spacing w:line="360" w:lineRule="auto"/>
        <w:rPr>
          <w:color w:val="auto"/>
          <w:sz w:val="24"/>
          <w:highlight w:val="none"/>
        </w:rPr>
      </w:pPr>
      <w:r>
        <w:rPr>
          <w:color w:val="auto"/>
          <w:sz w:val="24"/>
          <w:highlight w:val="none"/>
        </w:rPr>
        <w:t>（2）其它</w:t>
      </w:r>
      <w:r>
        <w:rPr>
          <w:rFonts w:hint="eastAsia"/>
          <w:color w:val="auto"/>
          <w:sz w:val="24"/>
          <w:highlight w:val="none"/>
        </w:rPr>
        <w:t>：</w:t>
      </w:r>
      <w:r>
        <w:rPr>
          <w:color w:val="auto"/>
          <w:sz w:val="24"/>
          <w:highlight w:val="none"/>
        </w:rPr>
        <w:t>中小企业参加政府采购活动，应当出具此格式文件。《中小企业声明函》由参加政府采购活动的供应商出具。</w:t>
      </w:r>
    </w:p>
    <w:p w14:paraId="4E051769">
      <w:pPr>
        <w:tabs>
          <w:tab w:val="left" w:pos="5580"/>
        </w:tabs>
        <w:spacing w:line="360" w:lineRule="auto"/>
        <w:rPr>
          <w:color w:val="auto"/>
          <w:sz w:val="24"/>
          <w:highlight w:val="none"/>
        </w:rPr>
      </w:pPr>
      <w:r>
        <w:rPr>
          <w:color w:val="auto"/>
          <w:sz w:val="24"/>
          <w:highlight w:val="none"/>
        </w:rPr>
        <w:t>（3）</w:t>
      </w:r>
      <w:r>
        <w:rPr>
          <w:rFonts w:hint="eastAsia"/>
          <w:color w:val="auto"/>
          <w:sz w:val="24"/>
          <w:highlight w:val="none"/>
        </w:rPr>
        <w:t>中小企业认定标准以《关于印发中小企业划型标准规定的通知》（工信部联企业{2011}300号）文件规定为准。</w:t>
      </w:r>
    </w:p>
    <w:p w14:paraId="345FF0D6">
      <w:pPr>
        <w:tabs>
          <w:tab w:val="left" w:pos="5580"/>
        </w:tabs>
        <w:spacing w:line="360" w:lineRule="auto"/>
        <w:rPr>
          <w:color w:val="auto"/>
          <w:sz w:val="24"/>
          <w:highlight w:val="none"/>
        </w:rPr>
      </w:pPr>
      <w:r>
        <w:rPr>
          <w:color w:val="auto"/>
          <w:sz w:val="24"/>
          <w:highlight w:val="none"/>
        </w:rPr>
        <w:t>（</w:t>
      </w:r>
      <w:r>
        <w:rPr>
          <w:rFonts w:hint="eastAsia"/>
          <w:color w:val="auto"/>
          <w:sz w:val="24"/>
          <w:highlight w:val="none"/>
        </w:rPr>
        <w:t>4</w:t>
      </w:r>
      <w:r>
        <w:rPr>
          <w:color w:val="auto"/>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（工信部网址：https://baosong.miit.gov.cn/ScaleTest）</w:t>
      </w:r>
    </w:p>
    <w:p w14:paraId="5FA7057A">
      <w:pPr>
        <w:tabs>
          <w:tab w:val="left" w:pos="5580"/>
        </w:tabs>
        <w:spacing w:line="360" w:lineRule="auto"/>
        <w:rPr>
          <w:color w:val="auto"/>
          <w:sz w:val="24"/>
          <w:highlight w:val="none"/>
        </w:rPr>
      </w:pPr>
    </w:p>
    <w:p w14:paraId="2589FAF4">
      <w:pPr>
        <w:tabs>
          <w:tab w:val="left" w:pos="5580"/>
        </w:tabs>
        <w:spacing w:line="360" w:lineRule="auto"/>
        <w:rPr>
          <w:color w:val="auto"/>
          <w:sz w:val="24"/>
          <w:highlight w:val="none"/>
        </w:rPr>
      </w:pPr>
    </w:p>
    <w:p w14:paraId="396D301E">
      <w:pPr>
        <w:spacing w:before="240" w:beforeLines="100" w:after="240" w:afterLines="100" w:line="360" w:lineRule="auto"/>
        <w:jc w:val="center"/>
        <w:rPr>
          <w:b/>
          <w:bCs/>
          <w:color w:val="auto"/>
          <w:sz w:val="36"/>
          <w:szCs w:val="36"/>
          <w:highlight w:val="none"/>
        </w:rPr>
      </w:pPr>
      <w:r>
        <w:rPr>
          <w:color w:val="auto"/>
          <w:sz w:val="24"/>
          <w:highlight w:val="none"/>
        </w:rPr>
        <w:br w:type="page"/>
      </w:r>
      <w:r>
        <w:rPr>
          <w:rFonts w:hint="eastAsia"/>
          <w:b/>
          <w:bCs/>
          <w:color w:val="auto"/>
          <w:sz w:val="36"/>
          <w:szCs w:val="36"/>
          <w:highlight w:val="none"/>
        </w:rPr>
        <w:t>中小企业声明函格式</w:t>
      </w:r>
    </w:p>
    <w:p w14:paraId="2CDBC1B2">
      <w:pPr>
        <w:adjustRightInd w:val="0"/>
        <w:spacing w:line="57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本公司郑重声明，根据《政府采购促进中小企业发展管理办法》(财库[2020]46号)的规定，本公司</w:t>
      </w:r>
      <w:r>
        <w:rPr>
          <w:rFonts w:hint="eastAsia" w:ascii="宋体" w:hAnsi="宋体" w:cs="宋体"/>
          <w:color w:val="auto"/>
          <w:sz w:val="24"/>
          <w:highlight w:val="none"/>
          <w:u w:val="single"/>
        </w:rPr>
        <w:t xml:space="preserve">（此处填供应商单位名称） </w:t>
      </w:r>
      <w:r>
        <w:rPr>
          <w:rFonts w:hint="eastAsia" w:ascii="宋体" w:hAnsi="宋体" w:cs="宋体"/>
          <w:color w:val="auto"/>
          <w:sz w:val="24"/>
          <w:highlight w:val="none"/>
        </w:rPr>
        <w:t>参加江苏尚阳工程管理有限公司组织的</w:t>
      </w:r>
      <w:r>
        <w:rPr>
          <w:rFonts w:hint="eastAsia" w:ascii="宋体" w:hAnsi="宋体" w:cs="宋体"/>
          <w:color w:val="auto"/>
          <w:sz w:val="24"/>
          <w:highlight w:val="none"/>
          <w:u w:val="single"/>
        </w:rPr>
        <w:t>（采购单位名称①）</w:t>
      </w:r>
      <w:r>
        <w:rPr>
          <w:rFonts w:hint="eastAsia" w:ascii="宋体" w:hAnsi="宋体" w:cs="宋体"/>
          <w:color w:val="auto"/>
          <w:sz w:val="24"/>
          <w:highlight w:val="none"/>
        </w:rPr>
        <w:t>采购编号为</w:t>
      </w:r>
      <w:r>
        <w:rPr>
          <w:rFonts w:hint="eastAsia" w:ascii="宋体" w:hAnsi="宋体" w:cs="宋体"/>
          <w:color w:val="auto"/>
          <w:sz w:val="24"/>
          <w:highlight w:val="none"/>
          <w:u w:val="single"/>
        </w:rPr>
        <w:t>②</w:t>
      </w:r>
      <w:r>
        <w:rPr>
          <w:rFonts w:hint="eastAsia" w:ascii="宋体" w:hAnsi="宋体" w:cs="宋体"/>
          <w:color w:val="auto"/>
          <w:sz w:val="24"/>
          <w:highlight w:val="none"/>
        </w:rPr>
        <w:t>，</w:t>
      </w:r>
      <w:r>
        <w:rPr>
          <w:rFonts w:hint="eastAsia" w:ascii="宋体" w:hAnsi="宋体" w:cs="宋体"/>
          <w:color w:val="auto"/>
          <w:sz w:val="24"/>
          <w:highlight w:val="none"/>
          <w:u w:val="single"/>
        </w:rPr>
        <w:t>（项目名称③）（分包号：④）</w:t>
      </w:r>
      <w:r>
        <w:rPr>
          <w:rFonts w:hint="eastAsia" w:ascii="宋体" w:hAnsi="宋体" w:cs="宋体"/>
          <w:color w:val="auto"/>
          <w:sz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05A2987E">
      <w:pPr>
        <w:adjustRightInd w:val="0"/>
        <w:spacing w:line="570" w:lineRule="exact"/>
        <w:ind w:firstLine="360" w:firstLineChars="150"/>
        <w:rPr>
          <w:rFonts w:hint="eastAsia" w:ascii="宋体" w:hAnsi="宋体" w:cs="宋体"/>
          <w:i/>
          <w:color w:val="auto"/>
          <w:sz w:val="24"/>
          <w:highlight w:val="none"/>
          <w:u w:val="single"/>
        </w:rPr>
      </w:pPr>
      <w:r>
        <w:rPr>
          <w:rFonts w:hint="eastAsia" w:ascii="宋体" w:hAnsi="宋体" w:cs="宋体"/>
          <w:color w:val="auto"/>
          <w:sz w:val="24"/>
          <w:highlight w:val="none"/>
          <w:u w:val="single"/>
        </w:rPr>
        <w:t>（标的名称⑤）</w:t>
      </w:r>
      <w:r>
        <w:rPr>
          <w:rFonts w:hint="eastAsia" w:ascii="宋体" w:hAnsi="宋体" w:cs="宋体"/>
          <w:i/>
          <w:color w:val="auto"/>
          <w:sz w:val="24"/>
          <w:highlight w:val="non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（采购文件中明确的所属行业⑥）</w:t>
      </w:r>
      <w:r>
        <w:rPr>
          <w:rFonts w:hint="eastAsia" w:ascii="宋体" w:hAnsi="宋体" w:cs="宋体"/>
          <w:color w:val="auto"/>
          <w:sz w:val="24"/>
          <w:highlight w:val="none"/>
        </w:rPr>
        <w:t>行业；承建企业为</w:t>
      </w:r>
      <w:r>
        <w:rPr>
          <w:rFonts w:hint="eastAsia" w:ascii="宋体" w:hAnsi="宋体" w:cs="宋体"/>
          <w:color w:val="auto"/>
          <w:sz w:val="24"/>
          <w:highlight w:val="none"/>
          <w:u w:val="single"/>
        </w:rPr>
        <w:t>（企业名称⑦）</w:t>
      </w:r>
      <w:r>
        <w:rPr>
          <w:rFonts w:hint="eastAsia" w:ascii="宋体" w:hAnsi="宋体" w:cs="宋体"/>
          <w:color w:val="auto"/>
          <w:sz w:val="24"/>
          <w:highlight w:val="none"/>
        </w:rPr>
        <w:t>，从业人员</w:t>
      </w:r>
      <w:r>
        <w:rPr>
          <w:rFonts w:hint="eastAsia" w:ascii="宋体" w:hAnsi="宋体" w:cs="宋体"/>
          <w:color w:val="auto"/>
          <w:sz w:val="24"/>
          <w:highlight w:val="none"/>
          <w:u w:val="single"/>
        </w:rPr>
        <w:t>⑧</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⑨</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⑩</w:t>
      </w:r>
      <w:r>
        <w:rPr>
          <w:rFonts w:hint="eastAsia" w:ascii="宋体" w:hAnsi="宋体" w:cs="宋体"/>
          <w:color w:val="auto"/>
          <w:sz w:val="24"/>
          <w:highlight w:val="none"/>
        </w:rPr>
        <w:t>万元，属于</w:t>
      </w:r>
      <w:r>
        <w:rPr>
          <w:rFonts w:hint="eastAsia" w:ascii="宋体" w:hAnsi="宋体" w:cs="宋体"/>
          <w:color w:val="auto"/>
          <w:sz w:val="24"/>
          <w:highlight w:val="none"/>
          <w:u w:val="single"/>
        </w:rPr>
        <w:t>（中型企业、小型企业、微型企业⑪）；</w:t>
      </w:r>
    </w:p>
    <w:p w14:paraId="49C0D08C">
      <w:pPr>
        <w:adjustRightInd w:val="0"/>
        <w:spacing w:line="57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w:t>
      </w:r>
    </w:p>
    <w:p w14:paraId="050D5C3C">
      <w:pPr>
        <w:adjustRightInd w:val="0"/>
        <w:spacing w:line="57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6C982750">
      <w:pPr>
        <w:adjustRightInd w:val="0"/>
        <w:spacing w:line="570" w:lineRule="exact"/>
        <w:ind w:right="180" w:firstLine="360" w:firstLineChars="150"/>
        <w:jc w:val="right"/>
        <w:rPr>
          <w:rFonts w:hint="eastAsia" w:ascii="宋体" w:hAnsi="宋体" w:cs="宋体"/>
          <w:color w:val="auto"/>
          <w:sz w:val="24"/>
          <w:highlight w:val="none"/>
        </w:rPr>
      </w:pPr>
      <w:r>
        <w:rPr>
          <w:rFonts w:hint="eastAsia" w:ascii="宋体" w:hAnsi="宋体" w:cs="宋体"/>
          <w:color w:val="auto"/>
          <w:sz w:val="24"/>
          <w:highlight w:val="none"/>
        </w:rPr>
        <w:t>企业名称（加盖CA电子公章）⑫：</w:t>
      </w:r>
    </w:p>
    <w:p w14:paraId="242906C6">
      <w:pPr>
        <w:adjustRightInd w:val="0"/>
        <w:spacing w:line="570" w:lineRule="exact"/>
        <w:ind w:right="480" w:firstLine="5400" w:firstLineChars="2250"/>
        <w:rPr>
          <w:rFonts w:hint="eastAsia" w:ascii="宋体" w:hAnsi="宋体" w:cs="宋体"/>
          <w:color w:val="auto"/>
          <w:sz w:val="24"/>
          <w:highlight w:val="none"/>
        </w:rPr>
      </w:pPr>
      <w:r>
        <w:rPr>
          <w:rFonts w:hint="eastAsia" w:ascii="宋体" w:hAnsi="宋体" w:cs="宋体"/>
          <w:color w:val="auto"/>
          <w:sz w:val="24"/>
          <w:highlight w:val="none"/>
        </w:rPr>
        <w:t>日  期：</w:t>
      </w:r>
    </w:p>
    <w:p w14:paraId="54F5A42F">
      <w:pPr>
        <w:adjustRightInd w:val="0"/>
        <w:snapToGrid w:val="0"/>
        <w:spacing w:line="570" w:lineRule="exact"/>
        <w:rPr>
          <w:rFonts w:hint="eastAsia" w:ascii="宋体" w:hAnsi="宋体" w:cs="宋体"/>
          <w:color w:val="auto"/>
          <w:sz w:val="24"/>
          <w:highlight w:val="none"/>
        </w:rPr>
      </w:pPr>
    </w:p>
    <w:p w14:paraId="6EA87923">
      <w:pPr>
        <w:adjustRightInd w:val="0"/>
        <w:snapToGrid w:val="0"/>
        <w:spacing w:line="570" w:lineRule="exact"/>
        <w:rPr>
          <w:rFonts w:hint="eastAsia" w:ascii="宋体" w:hAnsi="宋体" w:cs="宋体"/>
          <w:b/>
          <w:color w:val="auto"/>
          <w:sz w:val="24"/>
          <w:highlight w:val="none"/>
        </w:rPr>
      </w:pPr>
    </w:p>
    <w:p w14:paraId="503C1A4B">
      <w:pPr>
        <w:adjustRightInd w:val="0"/>
        <w:snapToGrid w:val="0"/>
        <w:spacing w:line="570" w:lineRule="exact"/>
        <w:rPr>
          <w:rFonts w:hint="eastAsia" w:ascii="宋体" w:hAnsi="宋体" w:cs="宋体"/>
          <w:b/>
          <w:color w:val="auto"/>
          <w:sz w:val="24"/>
          <w:highlight w:val="none"/>
        </w:rPr>
      </w:pPr>
    </w:p>
    <w:p w14:paraId="2CC97C59">
      <w:pPr>
        <w:adjustRightInd w:val="0"/>
        <w:snapToGrid w:val="0"/>
        <w:spacing w:line="570" w:lineRule="exact"/>
        <w:rPr>
          <w:rFonts w:hint="eastAsia" w:ascii="宋体" w:hAnsi="宋体" w:cs="宋体"/>
          <w:b/>
          <w:color w:val="auto"/>
          <w:sz w:val="24"/>
          <w:highlight w:val="none"/>
        </w:rPr>
      </w:pPr>
    </w:p>
    <w:p w14:paraId="48B438A6">
      <w:pPr>
        <w:adjustRightInd w:val="0"/>
        <w:snapToGrid w:val="0"/>
        <w:spacing w:line="570" w:lineRule="exact"/>
        <w:rPr>
          <w:rFonts w:hint="eastAsia" w:ascii="宋体" w:hAnsi="宋体" w:cs="宋体"/>
          <w:b/>
          <w:color w:val="auto"/>
          <w:sz w:val="24"/>
          <w:highlight w:val="none"/>
        </w:rPr>
      </w:pPr>
    </w:p>
    <w:p w14:paraId="44EE1BBC">
      <w:pPr>
        <w:adjustRightInd w:val="0"/>
        <w:snapToGrid w:val="0"/>
        <w:spacing w:line="570" w:lineRule="exact"/>
        <w:rPr>
          <w:rFonts w:hint="eastAsia" w:ascii="宋体" w:hAnsi="宋体" w:cs="宋体"/>
          <w:b/>
          <w:color w:val="auto"/>
          <w:sz w:val="24"/>
          <w:highlight w:val="none"/>
        </w:rPr>
      </w:pPr>
    </w:p>
    <w:p w14:paraId="7DAAD68E">
      <w:pPr>
        <w:adjustRightInd w:val="0"/>
        <w:snapToGrid w:val="0"/>
        <w:spacing w:line="570" w:lineRule="exact"/>
        <w:rPr>
          <w:rFonts w:hint="eastAsia" w:ascii="宋体" w:hAnsi="宋体" w:cs="宋体"/>
          <w:b/>
          <w:color w:val="auto"/>
          <w:sz w:val="24"/>
          <w:highlight w:val="none"/>
        </w:rPr>
      </w:pPr>
    </w:p>
    <w:p w14:paraId="1DF60EEF">
      <w:pPr>
        <w:adjustRightInd w:val="0"/>
        <w:snapToGrid w:val="0"/>
        <w:spacing w:line="570" w:lineRule="exact"/>
        <w:rPr>
          <w:rFonts w:hint="eastAsia" w:ascii="宋体" w:hAnsi="宋体" w:cs="宋体"/>
          <w:b/>
          <w:color w:val="auto"/>
          <w:sz w:val="24"/>
          <w:highlight w:val="none"/>
        </w:rPr>
      </w:pPr>
    </w:p>
    <w:p w14:paraId="03A7985B">
      <w:pPr>
        <w:adjustRightInd w:val="0"/>
        <w:snapToGrid w:val="0"/>
        <w:spacing w:line="570" w:lineRule="exact"/>
        <w:rPr>
          <w:rFonts w:hint="eastAsia" w:ascii="宋体" w:hAnsi="宋体" w:cs="宋体"/>
          <w:color w:val="auto"/>
          <w:sz w:val="24"/>
          <w:highlight w:val="none"/>
        </w:rPr>
      </w:pPr>
      <w:r>
        <w:rPr>
          <w:rFonts w:hint="eastAsia" w:ascii="宋体" w:hAnsi="宋体" w:cs="宋体"/>
          <w:color w:val="auto"/>
          <w:sz w:val="24"/>
          <w:highlight w:val="none"/>
        </w:rPr>
        <w:t>填写说明：</w:t>
      </w:r>
    </w:p>
    <w:p w14:paraId="4F8C9102">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1.（采购单位名称①）：填写本项目采购人单位名称，如常州市XXX局。</w:t>
      </w:r>
    </w:p>
    <w:p w14:paraId="5EA3CB2C">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2.采购编号为②：填写本项目编号，如JSZC-3204XX-SYZB-C20XX-XX。 </w:t>
      </w:r>
    </w:p>
    <w:p w14:paraId="4CB641D5">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3.（项目名称③）：填写本项目名称，如常州市XXX项目。</w:t>
      </w:r>
    </w:p>
    <w:p w14:paraId="070862F9">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4.（分包号：④）：填写分包编号，如有分包的，分别填写分包号，没有的填“无”。</w:t>
      </w:r>
    </w:p>
    <w:p w14:paraId="67C98EB8">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5.（标的名称⑤）：填写本项目标的名称，详见采购文件“第一章 采购邀请”。</w:t>
      </w:r>
    </w:p>
    <w:p w14:paraId="3A7525C0">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6.（采购文件中明确的所属行业⑥）：填写本项目采购标的所属行业。须根据采购文件“第二章  供应商须知”表格中列明的所属行业进行填写。如：建筑业。</w:t>
      </w:r>
    </w:p>
    <w:p w14:paraId="3B3608B9">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7.（企业名称⑦）：填写</w:t>
      </w:r>
      <w:r>
        <w:rPr>
          <w:rFonts w:hint="eastAsia" w:ascii="宋体" w:hAnsi="宋体" w:cs="宋体"/>
          <w:b/>
          <w:bCs/>
          <w:color w:val="auto"/>
          <w:sz w:val="24"/>
          <w:highlight w:val="none"/>
        </w:rPr>
        <w:t>投标人或供应商的名称</w:t>
      </w:r>
      <w:r>
        <w:rPr>
          <w:rFonts w:hint="eastAsia" w:ascii="宋体" w:hAnsi="宋体" w:cs="宋体"/>
          <w:color w:val="auto"/>
          <w:sz w:val="24"/>
          <w:highlight w:val="none"/>
        </w:rPr>
        <w:t>，如XXX公司。</w:t>
      </w:r>
    </w:p>
    <w:p w14:paraId="22F9701C">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8.从业人员⑧人，营业收入为⑨万元，资产总额为⑩万元：填报</w:t>
      </w:r>
      <w:r>
        <w:rPr>
          <w:rFonts w:hint="eastAsia" w:ascii="宋体" w:hAnsi="宋体" w:cs="宋体"/>
          <w:b/>
          <w:bCs/>
          <w:color w:val="auto"/>
          <w:sz w:val="24"/>
          <w:highlight w:val="none"/>
        </w:rPr>
        <w:t>投标人或供应商</w:t>
      </w:r>
      <w:r>
        <w:rPr>
          <w:rFonts w:hint="eastAsia" w:ascii="宋体" w:hAnsi="宋体" w:cs="宋体"/>
          <w:color w:val="auto"/>
          <w:sz w:val="24"/>
          <w:highlight w:val="none"/>
        </w:rPr>
        <w:t>的从业人员、营业收入、资产总额上一年度数据，无上一年度数据的新成立企业可不填报。</w:t>
      </w:r>
    </w:p>
    <w:p w14:paraId="564E9FE9">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9.（中型企业、小型企业、微型企业</w:t>
      </w:r>
      <w:r>
        <w:rPr>
          <w:rFonts w:hint="eastAsia" w:ascii="宋体" w:hAnsi="宋体" w:cs="宋体"/>
          <w:color w:val="auto"/>
          <w:sz w:val="24"/>
          <w:highlight w:val="none"/>
          <w:u w:val="single"/>
        </w:rPr>
        <w:t>⑪</w:t>
      </w:r>
      <w:r>
        <w:rPr>
          <w:rFonts w:hint="eastAsia" w:ascii="宋体" w:hAnsi="宋体" w:cs="宋体"/>
          <w:color w:val="auto"/>
          <w:sz w:val="24"/>
          <w:highlight w:val="none"/>
        </w:rPr>
        <w:t>）：根据</w:t>
      </w:r>
      <w:r>
        <w:rPr>
          <w:rFonts w:hint="eastAsia" w:ascii="宋体" w:hAnsi="宋体" w:cs="宋体"/>
          <w:b/>
          <w:bCs/>
          <w:color w:val="auto"/>
          <w:sz w:val="24"/>
          <w:highlight w:val="none"/>
        </w:rPr>
        <w:t>投标人或供应商</w:t>
      </w:r>
      <w:r>
        <w:rPr>
          <w:rFonts w:hint="eastAsia" w:ascii="宋体" w:hAnsi="宋体" w:cs="宋体"/>
          <w:color w:val="auto"/>
          <w:sz w:val="24"/>
          <w:highlight w:val="none"/>
        </w:rPr>
        <w:t>的企业规模情况填写中型企业、小型企业或微型企业</w:t>
      </w:r>
      <w:r>
        <w:rPr>
          <w:rFonts w:hint="eastAsia" w:ascii="宋体" w:hAnsi="宋体" w:cs="宋体"/>
          <w:b/>
          <w:bCs/>
          <w:color w:val="auto"/>
          <w:sz w:val="24"/>
          <w:highlight w:val="none"/>
        </w:rPr>
        <w:t>（只能填写三种其中的一种）</w:t>
      </w:r>
      <w:r>
        <w:rPr>
          <w:rFonts w:hint="eastAsia" w:ascii="宋体" w:hAnsi="宋体" w:cs="宋体"/>
          <w:color w:val="auto"/>
          <w:sz w:val="24"/>
          <w:highlight w:val="none"/>
        </w:rPr>
        <w:t>。中小企业划分见《关于印发中小企业划型标准规定的通知》（工信部联企业〔2011〕300号) 。</w:t>
      </w:r>
    </w:p>
    <w:p w14:paraId="2159A143">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10.企业名称（盖章）⑫：加盖</w:t>
      </w:r>
      <w:r>
        <w:rPr>
          <w:rFonts w:hint="eastAsia" w:ascii="宋体" w:hAnsi="宋体" w:cs="宋体"/>
          <w:b/>
          <w:bCs/>
          <w:color w:val="auto"/>
          <w:sz w:val="24"/>
          <w:highlight w:val="none"/>
        </w:rPr>
        <w:t>投标人或供应商</w:t>
      </w:r>
      <w:r>
        <w:rPr>
          <w:rFonts w:hint="eastAsia" w:ascii="宋体" w:hAnsi="宋体" w:cs="宋体"/>
          <w:color w:val="auto"/>
          <w:sz w:val="24"/>
          <w:highlight w:val="none"/>
        </w:rPr>
        <w:t>CA电子公章。</w:t>
      </w:r>
    </w:p>
    <w:p w14:paraId="068C453C">
      <w:pPr>
        <w:adjustRightInd w:val="0"/>
        <w:snapToGrid w:val="0"/>
        <w:spacing w:line="57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11.如是</w:t>
      </w:r>
      <w:r>
        <w:rPr>
          <w:rFonts w:hint="eastAsia" w:ascii="宋体" w:hAnsi="宋体" w:cs="宋体"/>
          <w:b/>
          <w:color w:val="auto"/>
          <w:sz w:val="24"/>
          <w:highlight w:val="none"/>
        </w:rPr>
        <w:t>专门面向中小企业预留份额</w:t>
      </w:r>
      <w:r>
        <w:rPr>
          <w:rFonts w:hint="eastAsia" w:ascii="宋体" w:hAnsi="宋体" w:cs="宋体"/>
          <w:color w:val="auto"/>
          <w:sz w:val="24"/>
          <w:highlight w:val="none"/>
        </w:rPr>
        <w:t>的采购项目，供应商未提供此声明函的，资格审查不予通过，作为</w:t>
      </w:r>
      <w:r>
        <w:rPr>
          <w:rFonts w:hint="eastAsia" w:ascii="宋体" w:hAnsi="宋体" w:cs="宋体"/>
          <w:b/>
          <w:color w:val="auto"/>
          <w:sz w:val="24"/>
          <w:highlight w:val="none"/>
        </w:rPr>
        <w:t>无效投标（响应）</w:t>
      </w:r>
      <w:r>
        <w:rPr>
          <w:rFonts w:hint="eastAsia" w:ascii="宋体" w:hAnsi="宋体" w:cs="宋体"/>
          <w:color w:val="auto"/>
          <w:sz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4E48C39F">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12.温馨提示</w:t>
      </w:r>
    </w:p>
    <w:p w14:paraId="588586C6">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（1）对于已纳入统计部门统计范围的企业，所属行业、从业人员、营业收入、资产总额、规模类型应与统计部门报表保持一致。</w:t>
      </w:r>
    </w:p>
    <w:p w14:paraId="159035DF">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586F5A9E">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2F4387D">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（4）对于采购文件确实允许非独立法人参与采购活动的，应按其所属集团公司合并财务报表数据情况予以填报。</w:t>
      </w:r>
    </w:p>
    <w:p w14:paraId="2E27EC20">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4C9A63DC">
      <w:pPr>
        <w:pStyle w:val="18"/>
        <w:adjustRightInd w:val="0"/>
        <w:snapToGrid w:val="0"/>
        <w:spacing w:line="570" w:lineRule="exact"/>
        <w:ind w:firstLine="480"/>
        <w:rPr>
          <w:rFonts w:ascii="宋体" w:hAnsi="宋体" w:cs="宋体"/>
          <w:color w:val="auto"/>
          <w:kern w:val="2"/>
          <w:sz w:val="24"/>
          <w:szCs w:val="24"/>
          <w:highlight w:val="none"/>
        </w:rPr>
      </w:pPr>
      <w:r>
        <w:rPr>
          <w:rFonts w:ascii="宋体" w:hAnsi="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59F5DFC3">
      <w:pPr>
        <w:pStyle w:val="18"/>
        <w:adjustRightInd w:val="0"/>
        <w:snapToGrid w:val="0"/>
        <w:spacing w:line="570" w:lineRule="exact"/>
        <w:ind w:firstLine="480"/>
        <w:rPr>
          <w:rFonts w:hint="default"/>
          <w:color w:val="auto"/>
          <w:sz w:val="24"/>
          <w:highlight w:val="none"/>
        </w:rPr>
      </w:pPr>
      <w:r>
        <w:rPr>
          <w:rFonts w:ascii="宋体" w:hAnsi="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8962ACF">
      <w:pPr>
        <w:spacing w:before="240" w:beforeLines="100" w:after="240" w:afterLines="100" w:line="360" w:lineRule="auto"/>
        <w:jc w:val="center"/>
        <w:rPr>
          <w:color w:val="auto"/>
          <w:sz w:val="24"/>
          <w:szCs w:val="20"/>
          <w:highlight w:val="none"/>
        </w:rPr>
      </w:pPr>
    </w:p>
    <w:p w14:paraId="43F5216A">
      <w:pPr>
        <w:spacing w:before="240" w:beforeLines="100" w:after="240" w:afterLines="100" w:line="360" w:lineRule="auto"/>
        <w:jc w:val="center"/>
        <w:rPr>
          <w:color w:val="auto"/>
          <w:sz w:val="24"/>
          <w:szCs w:val="20"/>
          <w:highlight w:val="none"/>
        </w:rPr>
      </w:pPr>
    </w:p>
    <w:p w14:paraId="2E0FADA9">
      <w:pPr>
        <w:spacing w:before="240" w:beforeLines="100" w:after="240" w:afterLines="100" w:line="360" w:lineRule="auto"/>
        <w:jc w:val="center"/>
        <w:rPr>
          <w:color w:val="auto"/>
          <w:sz w:val="24"/>
          <w:szCs w:val="20"/>
          <w:highlight w:val="none"/>
        </w:rPr>
      </w:pPr>
    </w:p>
    <w:p w14:paraId="2A85F12E">
      <w:pPr>
        <w:spacing w:before="240" w:beforeLines="100" w:after="240" w:afterLines="100" w:line="360" w:lineRule="auto"/>
        <w:jc w:val="center"/>
        <w:rPr>
          <w:color w:val="auto"/>
          <w:sz w:val="24"/>
          <w:szCs w:val="20"/>
          <w:highlight w:val="none"/>
        </w:rPr>
      </w:pPr>
    </w:p>
    <w:p w14:paraId="6F8241CF">
      <w:pPr>
        <w:spacing w:before="240" w:beforeLines="100" w:after="240" w:afterLines="100" w:line="360" w:lineRule="auto"/>
        <w:jc w:val="center"/>
        <w:rPr>
          <w:color w:val="auto"/>
          <w:sz w:val="24"/>
          <w:szCs w:val="20"/>
          <w:highlight w:val="none"/>
        </w:rPr>
      </w:pPr>
    </w:p>
    <w:p w14:paraId="732382B4">
      <w:pPr>
        <w:jc w:val="center"/>
        <w:rPr>
          <w:b/>
          <w:color w:val="auto"/>
          <w:sz w:val="36"/>
          <w:szCs w:val="36"/>
          <w:highlight w:val="none"/>
        </w:rPr>
        <w:sectPr>
          <w:headerReference r:id="rId12" w:type="first"/>
          <w:footerReference r:id="rId14" w:type="first"/>
          <w:headerReference r:id="rId11" w:type="even"/>
          <w:footerReference r:id="rId13" w:type="even"/>
          <w:pgSz w:w="11907" w:h="16840"/>
          <w:pgMar w:top="1440" w:right="1304" w:bottom="1440" w:left="1304" w:header="851" w:footer="851" w:gutter="0"/>
          <w:cols w:space="720" w:num="1"/>
          <w:docGrid w:linePitch="462" w:charSpace="0"/>
        </w:sectPr>
      </w:pPr>
    </w:p>
    <w:p w14:paraId="345A31CC">
      <w:pPr>
        <w:jc w:val="center"/>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03352313">
      <w:pPr>
        <w:jc w:val="center"/>
        <w:rPr>
          <w:color w:val="auto"/>
          <w:sz w:val="36"/>
          <w:szCs w:val="36"/>
          <w:highlight w:val="none"/>
        </w:rPr>
      </w:pPr>
    </w:p>
    <w:p w14:paraId="288F39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19A5E299">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BF2CC25">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由本单位承担工程。</w:t>
      </w:r>
    </w:p>
    <w:p w14:paraId="7C8E62A2">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6ACDB8">
      <w:pPr>
        <w:spacing w:line="588" w:lineRule="exact"/>
        <w:ind w:firstLine="504" w:firstLineChars="200"/>
        <w:rPr>
          <w:color w:val="auto"/>
          <w:spacing w:val="6"/>
          <w:sz w:val="24"/>
          <w:highlight w:val="none"/>
        </w:rPr>
      </w:pPr>
    </w:p>
    <w:p w14:paraId="05630934">
      <w:pPr>
        <w:spacing w:line="588" w:lineRule="exact"/>
        <w:ind w:firstLine="504" w:firstLineChars="200"/>
        <w:rPr>
          <w:color w:val="auto"/>
          <w:spacing w:val="6"/>
          <w:sz w:val="24"/>
          <w:highlight w:val="none"/>
        </w:rPr>
      </w:pPr>
    </w:p>
    <w:p w14:paraId="4364BF05">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0B010653">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15C5A05">
      <w:pPr>
        <w:widowControl/>
        <w:jc w:val="left"/>
        <w:rPr>
          <w:color w:val="auto"/>
          <w:sz w:val="24"/>
          <w:szCs w:val="20"/>
          <w:highlight w:val="none"/>
        </w:rPr>
      </w:pPr>
      <w:r>
        <w:rPr>
          <w:color w:val="auto"/>
          <w:sz w:val="24"/>
          <w:szCs w:val="20"/>
          <w:highlight w:val="none"/>
        </w:rPr>
        <w:br w:type="page"/>
      </w:r>
      <w:r>
        <w:rPr>
          <w:color w:val="auto"/>
          <w:sz w:val="24"/>
          <w:szCs w:val="20"/>
          <w:highlight w:val="none"/>
        </w:rPr>
        <w:t xml:space="preserve">3 </w:t>
      </w:r>
      <w:r>
        <w:rPr>
          <w:color w:val="auto"/>
          <w:sz w:val="24"/>
          <w:highlight w:val="none"/>
        </w:rPr>
        <w:t>本项目的特定资格要求</w:t>
      </w:r>
    </w:p>
    <w:p w14:paraId="0EF650AE">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 xml:space="preserve"> 3.3.1供应商：</w:t>
      </w:r>
    </w:p>
    <w:p w14:paraId="1A81D50A">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（1）具备有效的建筑装修装饰工程专业承包二级及以上资质；具备安全生产条件，并取得有效的安全生产许可证；</w:t>
      </w:r>
    </w:p>
    <w:p w14:paraId="01D6B275">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2488F378">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3.3.2项目负责人：</w:t>
      </w:r>
    </w:p>
    <w:p w14:paraId="34F10895">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（1）具备建筑工程二级及以上注册建造师；</w:t>
      </w:r>
    </w:p>
    <w:p w14:paraId="1DE2F946">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（2）注册建造师不得同时在两个或者两个以上单位受聘或者执业；</w:t>
      </w:r>
    </w:p>
    <w:p w14:paraId="2781AE4D">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（3）注册建造师具有有效的建设行政主管部门核发的安全生产考核合格证（B证）；</w:t>
      </w:r>
    </w:p>
    <w:p w14:paraId="35087878">
      <w:pPr>
        <w:tabs>
          <w:tab w:val="left" w:pos="720"/>
          <w:tab w:val="left" w:pos="900"/>
        </w:tabs>
        <w:spacing w:line="500" w:lineRule="exact"/>
        <w:ind w:left="363" w:firstLine="72" w:firstLineChars="30"/>
        <w:rPr>
          <w:color w:val="auto"/>
          <w:sz w:val="24"/>
          <w:szCs w:val="20"/>
          <w:highlight w:val="none"/>
        </w:rPr>
      </w:pPr>
      <w:r>
        <w:rPr>
          <w:rFonts w:hint="eastAsia"/>
          <w:color w:val="auto"/>
          <w:sz w:val="24"/>
          <w:szCs w:val="20"/>
          <w:highlight w:val="none"/>
        </w:rPr>
        <w:t>（4）具有社保机构出具的供应商为项目负责人缴纳社会基本养老保险的2026年4月至2026年6月</w:t>
      </w:r>
      <w:r>
        <w:rPr>
          <w:rFonts w:hint="eastAsia" w:ascii="宋体" w:hAnsi="宋体" w:cs="宋体"/>
          <w:color w:val="auto"/>
          <w:sz w:val="24"/>
          <w:highlight w:val="none"/>
        </w:rPr>
        <w:t>中任意一个月的</w:t>
      </w:r>
      <w:r>
        <w:rPr>
          <w:rFonts w:hint="eastAsia"/>
          <w:color w:val="auto"/>
          <w:sz w:val="24"/>
          <w:szCs w:val="20"/>
          <w:highlight w:val="none"/>
        </w:rPr>
        <w:t>缴纳凭证。</w:t>
      </w:r>
    </w:p>
    <w:p w14:paraId="21026BC9">
      <w:pPr>
        <w:spacing w:line="360" w:lineRule="auto"/>
        <w:outlineLvl w:val="2"/>
        <w:rPr>
          <w:color w:val="auto"/>
          <w:sz w:val="24"/>
          <w:szCs w:val="20"/>
          <w:highlight w:val="none"/>
        </w:rPr>
      </w:pPr>
      <w:r>
        <w:rPr>
          <w:color w:val="auto"/>
          <w:sz w:val="24"/>
          <w:szCs w:val="20"/>
          <w:highlight w:val="none"/>
        </w:rPr>
        <w:br w:type="page"/>
      </w:r>
      <w:bookmarkStart w:id="640" w:name="_Toc127151557"/>
      <w:bookmarkStart w:id="641" w:name="_Ref467988705"/>
      <w:bookmarkStart w:id="642" w:name="_Toc226965747"/>
      <w:bookmarkStart w:id="643" w:name="_Toc480942350"/>
      <w:bookmarkStart w:id="644" w:name="_Toc226309801"/>
      <w:bookmarkStart w:id="645" w:name="_Toc150480795"/>
      <w:bookmarkStart w:id="646" w:name="_Toc520356218"/>
      <w:bookmarkStart w:id="647" w:name="_Toc305158899"/>
      <w:bookmarkStart w:id="648" w:name="_Toc264969247"/>
      <w:bookmarkStart w:id="649" w:name="_Toc150774762"/>
      <w:bookmarkStart w:id="650" w:name="_Toc305158825"/>
      <w:bookmarkStart w:id="651" w:name="_Toc265228395"/>
      <w:bookmarkStart w:id="652" w:name="_Toc195842922"/>
      <w:bookmarkStart w:id="653" w:name="_Toc226965830"/>
      <w:bookmarkStart w:id="654" w:name="_Toc142311059"/>
      <w:bookmarkStart w:id="655" w:name="_Toc226337253"/>
      <w:r>
        <w:rPr>
          <w:rFonts w:hint="eastAsia"/>
          <w:color w:val="auto"/>
          <w:sz w:val="24"/>
          <w:highlight w:val="none"/>
        </w:rPr>
        <w:t>4</w:t>
      </w:r>
      <w:r>
        <w:rPr>
          <w:color w:val="auto"/>
          <w:sz w:val="24"/>
          <w:szCs w:val="20"/>
          <w:highlight w:val="none"/>
        </w:rPr>
        <w:t xml:space="preserve">  </w:t>
      </w:r>
      <w:r>
        <w:rPr>
          <w:color w:val="auto"/>
          <w:sz w:val="24"/>
          <w:highlight w:val="none"/>
        </w:rPr>
        <w:t>响应</w:t>
      </w:r>
      <w:r>
        <w:rPr>
          <w:rFonts w:hint="eastAsia"/>
          <w:color w:val="auto"/>
          <w:sz w:val="24"/>
          <w:highlight w:val="none"/>
        </w:rPr>
        <w:t>函</w:t>
      </w:r>
      <w:r>
        <w:rPr>
          <w:color w:val="auto"/>
          <w:sz w:val="24"/>
          <w:szCs w:val="20"/>
          <w:highlight w:val="none"/>
        </w:rPr>
        <w:t>（实质性格式）</w:t>
      </w:r>
    </w:p>
    <w:p w14:paraId="74EDCFD7">
      <w:pPr>
        <w:tabs>
          <w:tab w:val="left" w:pos="5580"/>
        </w:tabs>
        <w:spacing w:line="360" w:lineRule="auto"/>
        <w:rPr>
          <w:color w:val="auto"/>
          <w:sz w:val="24"/>
          <w:highlight w:val="none"/>
        </w:rPr>
      </w:pPr>
    </w:p>
    <w:p w14:paraId="624B526E">
      <w:pPr>
        <w:spacing w:line="360" w:lineRule="auto"/>
        <w:jc w:val="center"/>
        <w:rPr>
          <w:b/>
          <w:color w:val="auto"/>
          <w:sz w:val="36"/>
          <w:szCs w:val="36"/>
          <w:highlight w:val="none"/>
        </w:rPr>
      </w:pPr>
      <w:r>
        <w:rPr>
          <w:rFonts w:hint="eastAsia"/>
          <w:b/>
          <w:color w:val="auto"/>
          <w:sz w:val="36"/>
          <w:szCs w:val="36"/>
          <w:highlight w:val="none"/>
        </w:rPr>
        <w:t>响应函</w:t>
      </w:r>
    </w:p>
    <w:p w14:paraId="7EA63261">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8E7AD12">
      <w:pPr>
        <w:tabs>
          <w:tab w:val="left" w:pos="5580"/>
        </w:tabs>
        <w:spacing w:line="360" w:lineRule="auto"/>
        <w:rPr>
          <w:color w:val="auto"/>
          <w:sz w:val="24"/>
          <w:szCs w:val="20"/>
          <w:highlight w:val="none"/>
        </w:rPr>
      </w:pPr>
    </w:p>
    <w:p w14:paraId="7AE772DD">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w:t>
      </w:r>
      <w:r>
        <w:rPr>
          <w:rFonts w:hint="eastAsia"/>
          <w:color w:val="auto"/>
          <w:sz w:val="24"/>
          <w:szCs w:val="20"/>
          <w:highlight w:val="none"/>
        </w:rPr>
        <w:t>政府采购</w:t>
      </w:r>
      <w:r>
        <w:rPr>
          <w:color w:val="auto"/>
          <w:sz w:val="24"/>
          <w:szCs w:val="20"/>
          <w:highlight w:val="none"/>
        </w:rPr>
        <w:t>活动，并对此项目进行响应。</w:t>
      </w:r>
    </w:p>
    <w:p w14:paraId="1C2E74A2">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3D3D3781">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个日历日。</w:t>
      </w:r>
    </w:p>
    <w:p w14:paraId="708722BB">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（2）除合同条款及采购需求偏离表列出的偏离外，我方响应磋商文件的全部要求。</w:t>
      </w:r>
    </w:p>
    <w:p w14:paraId="0B4C5C1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B75B773">
      <w:pPr>
        <w:tabs>
          <w:tab w:val="left" w:pos="5580"/>
        </w:tabs>
        <w:spacing w:line="360" w:lineRule="auto"/>
        <w:ind w:firstLine="420" w:firstLineChars="175"/>
        <w:rPr>
          <w:color w:val="auto"/>
          <w:sz w:val="24"/>
          <w:highlight w:val="none"/>
        </w:rPr>
      </w:pPr>
      <w:r>
        <w:rPr>
          <w:color w:val="auto"/>
          <w:sz w:val="24"/>
          <w:szCs w:val="20"/>
          <w:highlight w:val="none"/>
        </w:rPr>
        <w:t>（4）如我方</w:t>
      </w:r>
      <w:r>
        <w:rPr>
          <w:rFonts w:hint="eastAsia"/>
          <w:color w:val="auto"/>
          <w:sz w:val="24"/>
          <w:szCs w:val="20"/>
          <w:highlight w:val="none"/>
        </w:rPr>
        <w:t>成交</w:t>
      </w:r>
      <w:r>
        <w:rPr>
          <w:color w:val="auto"/>
          <w:sz w:val="24"/>
          <w:szCs w:val="20"/>
          <w:highlight w:val="none"/>
        </w:rPr>
        <w:t>，我方将在法律规定的期限内与你方签订合同，并在合同约定的期限内完成合同规定的全部义务。</w:t>
      </w:r>
    </w:p>
    <w:p w14:paraId="3E0B6921">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6CCF339">
      <w:pPr>
        <w:spacing w:line="360" w:lineRule="auto"/>
        <w:ind w:firstLine="480" w:firstLineChars="200"/>
        <w:rPr>
          <w:color w:val="auto"/>
          <w:sz w:val="24"/>
          <w:highlight w:val="none"/>
        </w:rPr>
      </w:pPr>
      <w:r>
        <w:rPr>
          <w:color w:val="auto"/>
          <w:sz w:val="24"/>
          <w:highlight w:val="none"/>
        </w:rPr>
        <w:t>与本响应有关的一切正式往来信函请寄：</w:t>
      </w:r>
    </w:p>
    <w:p w14:paraId="0F9BC28D">
      <w:pPr>
        <w:tabs>
          <w:tab w:val="left" w:pos="5580"/>
        </w:tabs>
        <w:spacing w:line="360" w:lineRule="auto"/>
        <w:ind w:left="420"/>
        <w:rPr>
          <w:color w:val="auto"/>
          <w:sz w:val="24"/>
          <w:szCs w:val="20"/>
          <w:highlight w:val="none"/>
        </w:rPr>
      </w:pPr>
    </w:p>
    <w:p w14:paraId="658363D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7C99963A">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2B252396">
      <w:pPr>
        <w:tabs>
          <w:tab w:val="left" w:pos="5580"/>
        </w:tabs>
        <w:spacing w:line="360" w:lineRule="auto"/>
        <w:ind w:left="420"/>
        <w:rPr>
          <w:color w:val="auto"/>
          <w:sz w:val="24"/>
          <w:szCs w:val="20"/>
          <w:highlight w:val="none"/>
        </w:rPr>
      </w:pPr>
    </w:p>
    <w:p w14:paraId="4AD2F65A">
      <w:pPr>
        <w:tabs>
          <w:tab w:val="left" w:pos="5580"/>
        </w:tabs>
        <w:spacing w:line="360" w:lineRule="auto"/>
        <w:ind w:left="420"/>
        <w:rPr>
          <w:color w:val="auto"/>
          <w:sz w:val="24"/>
          <w:szCs w:val="20"/>
          <w:highlight w:val="none"/>
        </w:rPr>
      </w:pPr>
      <w:r>
        <w:rPr>
          <w:color w:val="auto"/>
          <w:sz w:val="24"/>
          <w:szCs w:val="20"/>
          <w:highlight w:val="none"/>
        </w:rPr>
        <w:t>供应商名称（加盖公章） ___________</w:t>
      </w:r>
    </w:p>
    <w:p w14:paraId="1A41B1C4">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654D6239">
      <w:pPr>
        <w:tabs>
          <w:tab w:val="left" w:pos="5580"/>
        </w:tabs>
        <w:spacing w:line="360" w:lineRule="auto"/>
        <w:ind w:left="420"/>
        <w:rPr>
          <w:color w:val="auto"/>
          <w:sz w:val="24"/>
          <w:szCs w:val="20"/>
          <w:highlight w:val="none"/>
          <w:u w:val="single"/>
        </w:rPr>
      </w:pPr>
    </w:p>
    <w:p w14:paraId="64BE237C">
      <w:pPr>
        <w:widowControl/>
        <w:jc w:val="left"/>
        <w:rPr>
          <w:color w:val="auto"/>
          <w:sz w:val="24"/>
          <w:highlight w:val="none"/>
        </w:rPr>
      </w:pPr>
      <w:bookmarkStart w:id="656" w:name="_Hlt520355938"/>
      <w:bookmarkEnd w:id="656"/>
      <w:bookmarkStart w:id="657" w:name="_Hlt520356243"/>
      <w:bookmarkEnd w:id="657"/>
      <w:r>
        <w:rPr>
          <w:color w:val="auto"/>
          <w:sz w:val="24"/>
          <w:highlight w:val="none"/>
        </w:rPr>
        <w:br w:type="page"/>
      </w:r>
      <w:r>
        <w:rPr>
          <w:rFonts w:hint="eastAsia"/>
          <w:color w:val="auto"/>
          <w:sz w:val="24"/>
          <w:highlight w:val="none"/>
        </w:rPr>
        <w:t>5</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6D6432C5">
      <w:pPr>
        <w:spacing w:line="360" w:lineRule="auto"/>
        <w:jc w:val="center"/>
        <w:rPr>
          <w:rFonts w:hint="eastAsia" w:ascii="宋体" w:hAnsi="宋体"/>
          <w:b/>
          <w:color w:val="auto"/>
          <w:sz w:val="32"/>
          <w:szCs w:val="32"/>
          <w:highlight w:val="none"/>
        </w:rPr>
      </w:pPr>
    </w:p>
    <w:p w14:paraId="37FCB0E5">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法定代表人资格证明书</w:t>
      </w:r>
    </w:p>
    <w:p w14:paraId="741B0872">
      <w:pPr>
        <w:spacing w:line="560" w:lineRule="exact"/>
        <w:rPr>
          <w:rFonts w:hint="eastAsia" w:ascii="宋体" w:hAnsi="宋体"/>
          <w:color w:val="auto"/>
          <w:sz w:val="24"/>
          <w:highlight w:val="none"/>
        </w:rPr>
      </w:pPr>
      <w:r>
        <w:rPr>
          <w:rFonts w:hint="eastAsia" w:ascii="宋体" w:hAnsi="宋体"/>
          <w:color w:val="auto"/>
          <w:sz w:val="24"/>
          <w:highlight w:val="none"/>
        </w:rPr>
        <w:t>单位名称:</w:t>
      </w:r>
    </w:p>
    <w:p w14:paraId="4C1FF3A7">
      <w:pPr>
        <w:spacing w:line="560" w:lineRule="exact"/>
        <w:rPr>
          <w:rFonts w:hint="eastAsia" w:ascii="宋体" w:hAnsi="宋体"/>
          <w:color w:val="auto"/>
          <w:sz w:val="24"/>
          <w:highlight w:val="none"/>
        </w:rPr>
      </w:pPr>
      <w:r>
        <w:rPr>
          <w:rFonts w:hint="eastAsia" w:ascii="宋体" w:hAnsi="宋体"/>
          <w:color w:val="auto"/>
          <w:sz w:val="24"/>
          <w:highlight w:val="none"/>
        </w:rPr>
        <w:t>地址:</w:t>
      </w:r>
    </w:p>
    <w:p w14:paraId="00D3196D">
      <w:pPr>
        <w:spacing w:line="560" w:lineRule="exact"/>
        <w:rPr>
          <w:rFonts w:hint="eastAsia" w:ascii="宋体" w:hAnsi="宋体"/>
          <w:color w:val="auto"/>
          <w:sz w:val="24"/>
          <w:highlight w:val="none"/>
        </w:rPr>
      </w:pPr>
      <w:r>
        <w:rPr>
          <w:rFonts w:hint="eastAsia" w:ascii="宋体" w:hAnsi="宋体"/>
          <w:color w:val="auto"/>
          <w:sz w:val="24"/>
          <w:highlight w:val="none"/>
        </w:rPr>
        <w:t>姓名:     性别:       年龄:      职务:</w:t>
      </w:r>
    </w:p>
    <w:p w14:paraId="3D831036">
      <w:pPr>
        <w:spacing w:line="560" w:lineRule="exact"/>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上述项目的磋商响应文件、进行合同谈判、签署合同和处理与之有关的一切事务。</w:t>
      </w:r>
    </w:p>
    <w:p w14:paraId="6811C880">
      <w:pPr>
        <w:spacing w:line="560" w:lineRule="exact"/>
        <w:rPr>
          <w:rFonts w:hint="eastAsia" w:ascii="宋体" w:hAnsi="宋体"/>
          <w:color w:val="auto"/>
          <w:sz w:val="24"/>
          <w:highlight w:val="none"/>
        </w:rPr>
      </w:pPr>
      <w:r>
        <w:rPr>
          <w:rFonts w:hint="eastAsia" w:ascii="宋体" w:hAnsi="宋体"/>
          <w:color w:val="auto"/>
          <w:sz w:val="24"/>
          <w:highlight w:val="none"/>
        </w:rPr>
        <w:t>特此证明。</w:t>
      </w:r>
    </w:p>
    <w:p w14:paraId="0D45B67D">
      <w:pPr>
        <w:spacing w:line="560" w:lineRule="exact"/>
        <w:rPr>
          <w:rFonts w:hint="eastAsia" w:ascii="宋体" w:hAnsi="宋体"/>
          <w:color w:val="auto"/>
          <w:sz w:val="24"/>
          <w:highlight w:val="none"/>
        </w:rPr>
      </w:pPr>
    </w:p>
    <w:p w14:paraId="467680AC">
      <w:pPr>
        <w:pStyle w:val="6"/>
        <w:kinsoku w:val="0"/>
        <w:overflowPunct w:val="0"/>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8AB8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B332737">
            <w:pPr>
              <w:tabs>
                <w:tab w:val="left" w:pos="5580"/>
              </w:tabs>
              <w:spacing w:line="360" w:lineRule="auto"/>
              <w:jc w:val="left"/>
              <w:rPr>
                <w:rFonts w:hint="eastAsia" w:ascii="宋体" w:hAnsi="宋体"/>
                <w:color w:val="auto"/>
                <w:sz w:val="24"/>
                <w:szCs w:val="20"/>
                <w:highlight w:val="none"/>
              </w:rPr>
            </w:pPr>
          </w:p>
          <w:p w14:paraId="047455EE">
            <w:pPr>
              <w:tabs>
                <w:tab w:val="left" w:pos="5580"/>
              </w:tabs>
              <w:spacing w:line="360" w:lineRule="auto"/>
              <w:jc w:val="left"/>
              <w:rPr>
                <w:rFonts w:hint="eastAsia" w:ascii="宋体" w:hAnsi="宋体"/>
                <w:color w:val="auto"/>
                <w:sz w:val="24"/>
                <w:szCs w:val="20"/>
                <w:highlight w:val="none"/>
              </w:rPr>
            </w:pPr>
          </w:p>
          <w:p w14:paraId="7E1142FB">
            <w:pPr>
              <w:tabs>
                <w:tab w:val="left" w:pos="5580"/>
              </w:tabs>
              <w:spacing w:line="360" w:lineRule="auto"/>
              <w:jc w:val="left"/>
              <w:rPr>
                <w:rFonts w:hint="eastAsia" w:ascii="宋体" w:hAnsi="宋体"/>
                <w:color w:val="auto"/>
                <w:sz w:val="24"/>
                <w:szCs w:val="20"/>
                <w:highlight w:val="none"/>
              </w:rPr>
            </w:pPr>
          </w:p>
        </w:tc>
        <w:tc>
          <w:tcPr>
            <w:tcW w:w="4536" w:type="dxa"/>
          </w:tcPr>
          <w:p w14:paraId="774387DF">
            <w:pPr>
              <w:tabs>
                <w:tab w:val="left" w:pos="5580"/>
              </w:tabs>
              <w:spacing w:line="360" w:lineRule="auto"/>
              <w:jc w:val="left"/>
              <w:rPr>
                <w:rFonts w:hint="eastAsia" w:ascii="宋体" w:hAnsi="宋体"/>
                <w:color w:val="auto"/>
                <w:sz w:val="24"/>
                <w:szCs w:val="20"/>
                <w:highlight w:val="none"/>
              </w:rPr>
            </w:pPr>
          </w:p>
          <w:p w14:paraId="74C07D67">
            <w:pPr>
              <w:tabs>
                <w:tab w:val="left" w:pos="5580"/>
              </w:tabs>
              <w:spacing w:line="360" w:lineRule="auto"/>
              <w:jc w:val="left"/>
              <w:rPr>
                <w:rFonts w:hint="eastAsia" w:ascii="宋体" w:hAnsi="宋体"/>
                <w:color w:val="auto"/>
                <w:sz w:val="24"/>
                <w:szCs w:val="20"/>
                <w:highlight w:val="none"/>
              </w:rPr>
            </w:pPr>
          </w:p>
          <w:p w14:paraId="1797E151">
            <w:pPr>
              <w:tabs>
                <w:tab w:val="left" w:pos="5580"/>
              </w:tabs>
              <w:spacing w:line="360" w:lineRule="auto"/>
              <w:jc w:val="left"/>
              <w:rPr>
                <w:rFonts w:hint="eastAsia" w:ascii="宋体" w:hAnsi="宋体"/>
                <w:color w:val="auto"/>
                <w:sz w:val="24"/>
                <w:szCs w:val="20"/>
                <w:highlight w:val="none"/>
              </w:rPr>
            </w:pPr>
          </w:p>
        </w:tc>
      </w:tr>
    </w:tbl>
    <w:p w14:paraId="2886DFE7">
      <w:pPr>
        <w:spacing w:line="560" w:lineRule="exact"/>
        <w:rPr>
          <w:rFonts w:hint="eastAsia" w:ascii="宋体" w:hAnsi="宋体"/>
          <w:color w:val="auto"/>
          <w:sz w:val="24"/>
          <w:highlight w:val="none"/>
        </w:rPr>
      </w:pPr>
      <w:r>
        <w:rPr>
          <w:rFonts w:hint="eastAsia" w:ascii="宋体" w:hAnsi="宋体"/>
          <w:color w:val="auto"/>
          <w:sz w:val="24"/>
          <w:highlight w:val="none"/>
        </w:rPr>
        <w:t>                     供应商：（加盖公章）</w:t>
      </w:r>
    </w:p>
    <w:p w14:paraId="5948701E">
      <w:pPr>
        <w:spacing w:line="560" w:lineRule="exact"/>
        <w:rPr>
          <w:rFonts w:hint="eastAsia"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4B020883">
      <w:pPr>
        <w:spacing w:line="560" w:lineRule="exact"/>
        <w:ind w:firstLine="4320" w:firstLineChars="1800"/>
        <w:rPr>
          <w:rFonts w:hint="eastAsia" w:ascii="宋体" w:hAnsi="宋体"/>
          <w:color w:val="auto"/>
          <w:sz w:val="24"/>
          <w:highlight w:val="none"/>
        </w:rPr>
      </w:pPr>
      <w:r>
        <w:rPr>
          <w:rFonts w:hint="eastAsia" w:ascii="宋体" w:hAnsi="宋体"/>
          <w:color w:val="auto"/>
          <w:sz w:val="24"/>
          <w:highlight w:val="none"/>
        </w:rPr>
        <w:t>日期：    年    月    日</w:t>
      </w:r>
    </w:p>
    <w:p w14:paraId="280D6CB9">
      <w:pPr>
        <w:widowControl/>
        <w:jc w:val="left"/>
        <w:rPr>
          <w:color w:val="auto"/>
          <w:sz w:val="24"/>
          <w:highlight w:val="none"/>
        </w:rPr>
      </w:pPr>
    </w:p>
    <w:p w14:paraId="2610B499">
      <w:pPr>
        <w:widowControl/>
        <w:jc w:val="left"/>
        <w:rPr>
          <w:color w:val="auto"/>
          <w:sz w:val="24"/>
          <w:highlight w:val="none"/>
        </w:rPr>
      </w:pPr>
    </w:p>
    <w:p w14:paraId="69ED1EAE">
      <w:pPr>
        <w:widowControl/>
        <w:jc w:val="left"/>
        <w:rPr>
          <w:color w:val="auto"/>
          <w:sz w:val="24"/>
          <w:highlight w:val="none"/>
        </w:rPr>
      </w:pPr>
    </w:p>
    <w:p w14:paraId="48BEF5E4">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60EC0F42">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5B12323D">
      <w:pPr>
        <w:pStyle w:val="6"/>
        <w:rPr>
          <w:rFonts w:hint="eastAsia"/>
          <w:color w:val="auto"/>
          <w:highlight w:val="none"/>
        </w:rPr>
      </w:pPr>
    </w:p>
    <w:p w14:paraId="641E3123">
      <w:pPr>
        <w:widowControl/>
        <w:jc w:val="left"/>
        <w:rPr>
          <w:color w:val="auto"/>
          <w:sz w:val="24"/>
          <w:highlight w:val="none"/>
        </w:rPr>
      </w:pPr>
    </w:p>
    <w:p w14:paraId="755009E4">
      <w:pPr>
        <w:widowControl/>
        <w:jc w:val="left"/>
        <w:rPr>
          <w:color w:val="auto"/>
          <w:sz w:val="24"/>
          <w:highlight w:val="none"/>
        </w:rPr>
        <w:sectPr>
          <w:pgSz w:w="11907" w:h="16840"/>
          <w:pgMar w:top="1418" w:right="1134" w:bottom="1418" w:left="1701" w:header="851" w:footer="851" w:gutter="0"/>
          <w:cols w:space="720" w:num="1"/>
          <w:docGrid w:linePitch="462" w:charSpace="0"/>
        </w:sectPr>
      </w:pPr>
    </w:p>
    <w:p w14:paraId="1A986B8A">
      <w:pPr>
        <w:widowControl/>
        <w:jc w:val="left"/>
        <w:rPr>
          <w:color w:val="auto"/>
          <w:sz w:val="24"/>
          <w:highlight w:val="none"/>
        </w:rPr>
      </w:pPr>
      <w:r>
        <w:rPr>
          <w:rFonts w:hint="eastAsia"/>
          <w:color w:val="auto"/>
          <w:sz w:val="24"/>
          <w:highlight w:val="none"/>
        </w:rPr>
        <w:t>6  政府采购供应商信用承诺书</w:t>
      </w:r>
      <w:r>
        <w:rPr>
          <w:color w:val="auto"/>
          <w:sz w:val="24"/>
          <w:szCs w:val="20"/>
          <w:highlight w:val="none"/>
        </w:rPr>
        <w:t>（实质性格式）</w:t>
      </w:r>
    </w:p>
    <w:p w14:paraId="64623C69">
      <w:pPr>
        <w:spacing w:line="560" w:lineRule="exact"/>
        <w:ind w:firstLine="321" w:firstLineChars="100"/>
        <w:jc w:val="center"/>
        <w:rPr>
          <w:rFonts w:hint="eastAsia" w:ascii="黑体" w:hAnsi="黑体" w:eastAsia="黑体"/>
          <w:b/>
          <w:color w:val="auto"/>
          <w:sz w:val="32"/>
          <w:szCs w:val="32"/>
          <w:highlight w:val="none"/>
        </w:rPr>
      </w:pPr>
    </w:p>
    <w:p w14:paraId="27B47996">
      <w:pPr>
        <w:spacing w:line="560" w:lineRule="exact"/>
        <w:ind w:firstLine="321" w:firstLineChars="100"/>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51A9497B">
      <w:pPr>
        <w:ind w:firstLine="640"/>
        <w:rPr>
          <w:snapToGrid w:val="0"/>
          <w:color w:val="auto"/>
          <w:kern w:val="0"/>
          <w:highlight w:val="none"/>
        </w:rPr>
      </w:pPr>
    </w:p>
    <w:p w14:paraId="6674D34A">
      <w:pPr>
        <w:spacing w:line="276" w:lineRule="auto"/>
        <w:ind w:firstLine="480"/>
        <w:rPr>
          <w:rFonts w:hint="eastAsia"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ADAB565">
      <w:pPr>
        <w:spacing w:line="276" w:lineRule="auto"/>
        <w:ind w:firstLine="480"/>
        <w:rPr>
          <w:rFonts w:hint="eastAsia"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236DB2AB">
      <w:pPr>
        <w:spacing w:line="276" w:lineRule="auto"/>
        <w:ind w:firstLine="480"/>
        <w:rPr>
          <w:rFonts w:hint="eastAsia"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26C0ED5">
      <w:pPr>
        <w:spacing w:line="276" w:lineRule="auto"/>
        <w:ind w:firstLine="480"/>
        <w:rPr>
          <w:rFonts w:hint="eastAsia"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三、本单位提供给注册登记部门、行业管理部门、司法部门、行业组织以及在政府采购活动中提交的所有资料均合法、真实、有效，无任何伪造、修改、虚假成分，并对所提供资料的真实性负责。</w:t>
      </w:r>
    </w:p>
    <w:p w14:paraId="4681CA82">
      <w:pPr>
        <w:spacing w:line="276" w:lineRule="auto"/>
        <w:ind w:firstLine="480"/>
        <w:rPr>
          <w:rFonts w:hint="eastAsia"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C42C1DA">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2813C63A">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9A866A1">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6C75F3DF">
      <w:pPr>
        <w:spacing w:line="276" w:lineRule="auto"/>
        <w:ind w:firstLine="480"/>
        <w:rPr>
          <w:rFonts w:hint="eastAsia"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0419937F">
      <w:pPr>
        <w:spacing w:line="276" w:lineRule="auto"/>
        <w:ind w:firstLine="480"/>
        <w:rPr>
          <w:rFonts w:hint="eastAsia"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643C2EC0">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73DA5DC1">
      <w:pPr>
        <w:spacing w:line="276" w:lineRule="auto"/>
        <w:ind w:firstLine="480"/>
        <w:rPr>
          <w:rFonts w:hint="eastAsia"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1B4BA56F">
      <w:pPr>
        <w:pStyle w:val="17"/>
        <w:spacing w:line="276" w:lineRule="auto"/>
        <w:ind w:right="1050" w:rightChars="500" w:firstLine="2880" w:firstLineChars="1200"/>
        <w:jc w:val="both"/>
        <w:rPr>
          <w:rFonts w:hint="eastAsia" w:ascii="宋体" w:hAnsi="宋体" w:eastAsia="宋体"/>
          <w:color w:val="auto"/>
          <w:sz w:val="24"/>
          <w:szCs w:val="22"/>
          <w:highlight w:val="none"/>
        </w:rPr>
      </w:pPr>
    </w:p>
    <w:p w14:paraId="40165197">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3344E58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5260D15">
      <w:pPr>
        <w:spacing w:line="360" w:lineRule="auto"/>
        <w:outlineLvl w:val="2"/>
        <w:rPr>
          <w:color w:val="auto"/>
          <w:sz w:val="24"/>
          <w:szCs w:val="20"/>
          <w:highlight w:val="none"/>
        </w:rPr>
      </w:pPr>
      <w:r>
        <w:rPr>
          <w:color w:val="auto"/>
          <w:sz w:val="24"/>
          <w:szCs w:val="20"/>
          <w:highlight w:val="none"/>
        </w:rPr>
        <w:br w:type="page"/>
      </w:r>
      <w:r>
        <w:rPr>
          <w:rFonts w:hint="eastAsia"/>
          <w:color w:val="auto"/>
          <w:sz w:val="24"/>
          <w:szCs w:val="20"/>
          <w:highlight w:val="none"/>
        </w:rPr>
        <w:t>7</w:t>
      </w:r>
      <w:r>
        <w:rPr>
          <w:color w:val="auto"/>
          <w:sz w:val="24"/>
          <w:szCs w:val="20"/>
          <w:highlight w:val="none"/>
        </w:rPr>
        <w:t xml:space="preserve">  报价一览表</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4FD0E2CD">
      <w:pPr>
        <w:jc w:val="center"/>
        <w:rPr>
          <w:b/>
          <w:color w:val="auto"/>
          <w:sz w:val="36"/>
          <w:szCs w:val="36"/>
          <w:highlight w:val="none"/>
        </w:rPr>
      </w:pPr>
      <w:bookmarkStart w:id="658" w:name="_Toc164608827"/>
      <w:bookmarkStart w:id="659" w:name="_Toc265228396"/>
      <w:bookmarkStart w:id="660" w:name="_Toc264969248"/>
      <w:bookmarkStart w:id="661" w:name="_Toc305158900"/>
      <w:bookmarkStart w:id="662" w:name="_Toc305158826"/>
      <w:bookmarkStart w:id="663" w:name="_Toc226965831"/>
      <w:bookmarkStart w:id="664" w:name="_Toc226309802"/>
      <w:bookmarkStart w:id="665" w:name="_Toc226965748"/>
      <w:bookmarkStart w:id="666" w:name="_Toc195842923"/>
      <w:bookmarkStart w:id="667" w:name="_Toc164608672"/>
      <w:bookmarkStart w:id="668" w:name="_Toc226337254"/>
      <w:r>
        <w:rPr>
          <w:rFonts w:hint="eastAsia"/>
          <w:b/>
          <w:color w:val="auto"/>
          <w:sz w:val="36"/>
          <w:szCs w:val="36"/>
          <w:highlight w:val="none"/>
        </w:rPr>
        <w:t>报价一览表</w:t>
      </w:r>
      <w:bookmarkEnd w:id="658"/>
      <w:bookmarkEnd w:id="659"/>
      <w:bookmarkEnd w:id="660"/>
      <w:bookmarkEnd w:id="661"/>
      <w:bookmarkEnd w:id="662"/>
      <w:bookmarkEnd w:id="663"/>
      <w:bookmarkEnd w:id="664"/>
      <w:bookmarkEnd w:id="665"/>
      <w:bookmarkEnd w:id="666"/>
      <w:bookmarkEnd w:id="667"/>
      <w:bookmarkEnd w:id="668"/>
    </w:p>
    <w:p w14:paraId="1B99BC33">
      <w:pPr>
        <w:tabs>
          <w:tab w:val="left" w:pos="1800"/>
          <w:tab w:val="left" w:pos="5580"/>
        </w:tabs>
        <w:spacing w:line="360" w:lineRule="auto"/>
        <w:jc w:val="left"/>
        <w:rPr>
          <w:color w:val="auto"/>
          <w:sz w:val="24"/>
          <w:highlight w:val="none"/>
        </w:rPr>
      </w:pPr>
    </w:p>
    <w:p w14:paraId="73D5AF50">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3204"/>
        <w:gridCol w:w="2025"/>
        <w:gridCol w:w="2131"/>
      </w:tblGrid>
      <w:tr w14:paraId="1681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67B39881">
            <w:pPr>
              <w:tabs>
                <w:tab w:val="left" w:pos="5580"/>
              </w:tabs>
              <w:jc w:val="center"/>
              <w:rPr>
                <w:b/>
                <w:color w:val="auto"/>
                <w:sz w:val="24"/>
                <w:highlight w:val="none"/>
              </w:rPr>
            </w:pPr>
            <w:r>
              <w:rPr>
                <w:rFonts w:hint="eastAsia"/>
                <w:b/>
                <w:color w:val="auto"/>
                <w:sz w:val="24"/>
                <w:highlight w:val="none"/>
              </w:rPr>
              <w:t>序号</w:t>
            </w:r>
          </w:p>
        </w:tc>
        <w:tc>
          <w:tcPr>
            <w:tcW w:w="3204" w:type="dxa"/>
            <w:vMerge w:val="restart"/>
            <w:tcBorders>
              <w:top w:val="single" w:color="auto" w:sz="4" w:space="0"/>
              <w:left w:val="single" w:color="auto" w:sz="4" w:space="0"/>
              <w:bottom w:val="single" w:color="auto" w:sz="4" w:space="0"/>
              <w:right w:val="single" w:color="auto" w:sz="4" w:space="0"/>
            </w:tcBorders>
            <w:vAlign w:val="center"/>
          </w:tcPr>
          <w:p w14:paraId="6FEE8439">
            <w:pPr>
              <w:tabs>
                <w:tab w:val="left" w:pos="5580"/>
              </w:tabs>
              <w:jc w:val="center"/>
              <w:rPr>
                <w:b/>
                <w:color w:val="auto"/>
                <w:sz w:val="24"/>
                <w:highlight w:val="none"/>
              </w:rPr>
            </w:pPr>
            <w:r>
              <w:rPr>
                <w:rFonts w:hint="eastAsia"/>
                <w:b/>
                <w:color w:val="auto"/>
                <w:sz w:val="24"/>
                <w:highlight w:val="none"/>
              </w:rPr>
              <w:t>供应商名称</w:t>
            </w:r>
          </w:p>
        </w:tc>
        <w:tc>
          <w:tcPr>
            <w:tcW w:w="4156" w:type="dxa"/>
            <w:gridSpan w:val="2"/>
            <w:tcBorders>
              <w:top w:val="single" w:color="auto" w:sz="4" w:space="0"/>
              <w:left w:val="single" w:color="auto" w:sz="4" w:space="0"/>
              <w:bottom w:val="single" w:color="auto" w:sz="4" w:space="0"/>
              <w:right w:val="single" w:color="auto" w:sz="4" w:space="0"/>
            </w:tcBorders>
            <w:vAlign w:val="center"/>
          </w:tcPr>
          <w:p w14:paraId="2C53661C">
            <w:pPr>
              <w:tabs>
                <w:tab w:val="left" w:pos="5580"/>
              </w:tabs>
              <w:jc w:val="center"/>
              <w:rPr>
                <w:b/>
                <w:color w:val="auto"/>
                <w:sz w:val="24"/>
                <w:highlight w:val="none"/>
              </w:rPr>
            </w:pPr>
            <w:r>
              <w:rPr>
                <w:rFonts w:hint="eastAsia"/>
                <w:b/>
                <w:color w:val="auto"/>
                <w:sz w:val="24"/>
                <w:highlight w:val="none"/>
              </w:rPr>
              <w:t>报价（人民币：元）</w:t>
            </w:r>
          </w:p>
        </w:tc>
      </w:tr>
      <w:tr w14:paraId="3C96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6FE14D01">
            <w:pPr>
              <w:widowControl/>
              <w:jc w:val="left"/>
              <w:rPr>
                <w:b/>
                <w:color w:val="auto"/>
                <w:sz w:val="24"/>
                <w:highlight w:val="none"/>
              </w:rPr>
            </w:pPr>
          </w:p>
        </w:tc>
        <w:tc>
          <w:tcPr>
            <w:tcW w:w="3204" w:type="dxa"/>
            <w:vMerge w:val="continue"/>
            <w:tcBorders>
              <w:top w:val="single" w:color="auto" w:sz="4" w:space="0"/>
              <w:left w:val="single" w:color="auto" w:sz="4" w:space="0"/>
              <w:bottom w:val="single" w:color="auto" w:sz="4" w:space="0"/>
              <w:right w:val="single" w:color="auto" w:sz="4" w:space="0"/>
            </w:tcBorders>
            <w:vAlign w:val="center"/>
          </w:tcPr>
          <w:p w14:paraId="31540B09">
            <w:pPr>
              <w:widowControl/>
              <w:jc w:val="left"/>
              <w:rPr>
                <w:b/>
                <w:color w:val="auto"/>
                <w:sz w:val="24"/>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003832DD">
            <w:pPr>
              <w:tabs>
                <w:tab w:val="left" w:pos="5580"/>
              </w:tabs>
              <w:jc w:val="center"/>
              <w:rPr>
                <w:b/>
                <w:color w:val="auto"/>
                <w:sz w:val="24"/>
                <w:highlight w:val="none"/>
              </w:rPr>
            </w:pPr>
            <w:r>
              <w:rPr>
                <w:rFonts w:hint="eastAsia"/>
                <w:b/>
                <w:color w:val="auto"/>
                <w:sz w:val="24"/>
                <w:highlight w:val="none"/>
              </w:rPr>
              <w:t>大写</w:t>
            </w:r>
          </w:p>
        </w:tc>
        <w:tc>
          <w:tcPr>
            <w:tcW w:w="2131" w:type="dxa"/>
            <w:tcBorders>
              <w:top w:val="single" w:color="auto" w:sz="4" w:space="0"/>
              <w:left w:val="single" w:color="auto" w:sz="4" w:space="0"/>
              <w:bottom w:val="single" w:color="auto" w:sz="4" w:space="0"/>
              <w:right w:val="single" w:color="auto" w:sz="4" w:space="0"/>
            </w:tcBorders>
            <w:vAlign w:val="center"/>
          </w:tcPr>
          <w:p w14:paraId="0703EC8E">
            <w:pPr>
              <w:tabs>
                <w:tab w:val="left" w:pos="5580"/>
              </w:tabs>
              <w:jc w:val="center"/>
              <w:rPr>
                <w:b/>
                <w:color w:val="auto"/>
                <w:sz w:val="24"/>
                <w:highlight w:val="none"/>
              </w:rPr>
            </w:pPr>
            <w:r>
              <w:rPr>
                <w:rFonts w:hint="eastAsia"/>
                <w:b/>
                <w:color w:val="auto"/>
                <w:sz w:val="24"/>
                <w:highlight w:val="none"/>
              </w:rPr>
              <w:t>小写</w:t>
            </w:r>
          </w:p>
        </w:tc>
      </w:tr>
      <w:tr w14:paraId="4376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7C7B468C">
            <w:pPr>
              <w:tabs>
                <w:tab w:val="left" w:pos="5580"/>
              </w:tabs>
              <w:jc w:val="center"/>
              <w:rPr>
                <w:color w:val="auto"/>
                <w:sz w:val="24"/>
                <w:highlight w:val="none"/>
              </w:rPr>
            </w:pPr>
          </w:p>
        </w:tc>
        <w:tc>
          <w:tcPr>
            <w:tcW w:w="3204" w:type="dxa"/>
            <w:tcBorders>
              <w:top w:val="single" w:color="auto" w:sz="4" w:space="0"/>
              <w:left w:val="single" w:color="auto" w:sz="4" w:space="0"/>
              <w:bottom w:val="single" w:color="auto" w:sz="4" w:space="0"/>
              <w:right w:val="single" w:color="auto" w:sz="4" w:space="0"/>
            </w:tcBorders>
            <w:vAlign w:val="center"/>
          </w:tcPr>
          <w:p w14:paraId="204E7068">
            <w:pPr>
              <w:tabs>
                <w:tab w:val="left" w:pos="5580"/>
              </w:tabs>
              <w:jc w:val="center"/>
              <w:rPr>
                <w:color w:val="auto"/>
                <w:sz w:val="24"/>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14:paraId="7C3B0FE2">
            <w:pPr>
              <w:tabs>
                <w:tab w:val="left" w:pos="5580"/>
              </w:tabs>
              <w:jc w:val="center"/>
              <w:rPr>
                <w:color w:val="auto"/>
                <w:sz w:val="24"/>
                <w:highlight w:val="none"/>
              </w:rPr>
            </w:pPr>
          </w:p>
        </w:tc>
        <w:tc>
          <w:tcPr>
            <w:tcW w:w="2131" w:type="dxa"/>
            <w:tcBorders>
              <w:top w:val="single" w:color="auto" w:sz="4" w:space="0"/>
              <w:left w:val="single" w:color="auto" w:sz="4" w:space="0"/>
              <w:bottom w:val="single" w:color="auto" w:sz="4" w:space="0"/>
              <w:right w:val="single" w:color="auto" w:sz="4" w:space="0"/>
            </w:tcBorders>
            <w:vAlign w:val="center"/>
          </w:tcPr>
          <w:p w14:paraId="00DD4399">
            <w:pPr>
              <w:tabs>
                <w:tab w:val="left" w:pos="5580"/>
              </w:tabs>
              <w:jc w:val="center"/>
              <w:rPr>
                <w:color w:val="auto"/>
                <w:sz w:val="24"/>
                <w:highlight w:val="none"/>
              </w:rPr>
            </w:pPr>
          </w:p>
        </w:tc>
      </w:tr>
    </w:tbl>
    <w:p w14:paraId="437C4720">
      <w:pPr>
        <w:autoSpaceDE w:val="0"/>
        <w:autoSpaceDN w:val="0"/>
        <w:adjustRightInd w:val="0"/>
        <w:jc w:val="left"/>
        <w:rPr>
          <w:color w:val="auto"/>
          <w:kern w:val="0"/>
          <w:sz w:val="24"/>
          <w:highlight w:val="none"/>
        </w:rPr>
      </w:pPr>
    </w:p>
    <w:p w14:paraId="11C1787C">
      <w:pPr>
        <w:autoSpaceDE w:val="0"/>
        <w:autoSpaceDN w:val="0"/>
        <w:adjustRightInd w:val="0"/>
        <w:spacing w:line="400" w:lineRule="exact"/>
        <w:jc w:val="left"/>
        <w:rPr>
          <w:color w:val="auto"/>
          <w:sz w:val="24"/>
          <w:szCs w:val="20"/>
          <w:highlight w:val="none"/>
        </w:rPr>
      </w:pPr>
      <w:r>
        <w:rPr>
          <w:color w:val="auto"/>
          <w:kern w:val="0"/>
          <w:sz w:val="24"/>
          <w:highlight w:val="none"/>
        </w:rPr>
        <w:t>注：</w:t>
      </w:r>
      <w:r>
        <w:rPr>
          <w:rFonts w:hint="eastAsia"/>
          <w:color w:val="auto"/>
          <w:kern w:val="0"/>
          <w:sz w:val="24"/>
          <w:highlight w:val="none"/>
        </w:rPr>
        <w:t>1.</w:t>
      </w:r>
      <w:r>
        <w:rPr>
          <w:color w:val="auto"/>
          <w:sz w:val="24"/>
          <w:szCs w:val="20"/>
          <w:highlight w:val="none"/>
        </w:rPr>
        <w:t>此表中的报价应和《分项报价表》中的总价相一致。</w:t>
      </w:r>
    </w:p>
    <w:p w14:paraId="4637E910">
      <w:pPr>
        <w:autoSpaceDE w:val="0"/>
        <w:autoSpaceDN w:val="0"/>
        <w:adjustRightInd w:val="0"/>
        <w:snapToGrid w:val="0"/>
        <w:spacing w:line="400" w:lineRule="exact"/>
        <w:ind w:firstLine="482" w:firstLineChars="200"/>
        <w:rPr>
          <w:rFonts w:hint="eastAsia" w:ascii="宋体" w:hAnsi="宋体" w:cs="宋体"/>
          <w:b/>
          <w:bCs/>
          <w:color w:val="auto"/>
          <w:sz w:val="24"/>
          <w:highlight w:val="none"/>
          <w:lang w:val="zh-CN"/>
        </w:rPr>
      </w:pPr>
      <w:r>
        <w:rPr>
          <w:rFonts w:hint="eastAsia" w:ascii="宋体" w:hAnsi="宋体" w:cs="宋体"/>
          <w:b/>
          <w:bCs/>
          <w:color w:val="auto"/>
          <w:sz w:val="24"/>
          <w:highlight w:val="none"/>
        </w:rPr>
        <w:t>2.二次报价即最终报价。</w:t>
      </w:r>
    </w:p>
    <w:p w14:paraId="69F4F79B">
      <w:pPr>
        <w:autoSpaceDE w:val="0"/>
        <w:autoSpaceDN w:val="0"/>
        <w:adjustRightInd w:val="0"/>
        <w:snapToGrid w:val="0"/>
        <w:spacing w:before="25" w:after="25" w:line="360" w:lineRule="auto"/>
        <w:ind w:firstLine="482" w:firstLineChars="200"/>
        <w:rPr>
          <w:rFonts w:hint="eastAsia" w:ascii="宋体" w:hAnsi="宋体" w:cs="宋体"/>
          <w:b/>
          <w:bCs/>
          <w:color w:val="auto"/>
          <w:sz w:val="24"/>
          <w:highlight w:val="none"/>
        </w:rPr>
      </w:pPr>
    </w:p>
    <w:p w14:paraId="75CBEB9E">
      <w:pPr>
        <w:autoSpaceDE w:val="0"/>
        <w:autoSpaceDN w:val="0"/>
        <w:adjustRightInd w:val="0"/>
        <w:snapToGrid w:val="0"/>
        <w:spacing w:before="25" w:after="25" w:line="360" w:lineRule="auto"/>
        <w:rPr>
          <w:color w:val="auto"/>
          <w:sz w:val="24"/>
          <w:highlight w:val="none"/>
          <w:lang w:val="zh-CN"/>
        </w:rPr>
      </w:pPr>
    </w:p>
    <w:p w14:paraId="2B1B055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6A86E50">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469CC42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71D3ABA">
      <w:pPr>
        <w:widowControl/>
        <w:jc w:val="left"/>
        <w:rPr>
          <w:color w:val="auto"/>
          <w:sz w:val="24"/>
          <w:szCs w:val="20"/>
          <w:highlight w:val="none"/>
        </w:rPr>
      </w:pPr>
      <w:bookmarkStart w:id="669" w:name="_Toc226337255"/>
      <w:bookmarkStart w:id="670" w:name="_Toc226965832"/>
      <w:bookmarkStart w:id="671" w:name="_Toc195842924"/>
      <w:bookmarkStart w:id="672" w:name="_Toc305158827"/>
      <w:bookmarkStart w:id="673" w:name="_Toc127151558"/>
      <w:bookmarkStart w:id="674" w:name="_Toc150480796"/>
      <w:bookmarkStart w:id="675" w:name="_Toc264969249"/>
      <w:bookmarkStart w:id="676" w:name="_Toc226965749"/>
      <w:bookmarkStart w:id="677" w:name="_Toc150774763"/>
      <w:bookmarkStart w:id="678" w:name="_Toc142311060"/>
      <w:bookmarkStart w:id="679" w:name="_Toc226309803"/>
      <w:bookmarkStart w:id="680" w:name="_Toc265228397"/>
      <w:bookmarkStart w:id="681" w:name="_Toc305158901"/>
      <w:r>
        <w:rPr>
          <w:color w:val="auto"/>
          <w:sz w:val="24"/>
          <w:szCs w:val="20"/>
          <w:highlight w:val="none"/>
        </w:rPr>
        <w:br w:type="page"/>
      </w:r>
      <w:r>
        <w:rPr>
          <w:rFonts w:hint="eastAsia"/>
          <w:color w:val="auto"/>
          <w:sz w:val="24"/>
          <w:szCs w:val="20"/>
          <w:highlight w:val="none"/>
        </w:rPr>
        <w:t>8</w:t>
      </w:r>
      <w:r>
        <w:rPr>
          <w:color w:val="auto"/>
          <w:sz w:val="24"/>
          <w:szCs w:val="20"/>
          <w:highlight w:val="none"/>
        </w:rPr>
        <w:t xml:space="preserve"> 分项报价表</w:t>
      </w:r>
      <w:bookmarkEnd w:id="669"/>
      <w:bookmarkEnd w:id="670"/>
      <w:bookmarkEnd w:id="671"/>
      <w:bookmarkEnd w:id="672"/>
      <w:bookmarkEnd w:id="673"/>
      <w:bookmarkEnd w:id="674"/>
      <w:bookmarkEnd w:id="675"/>
      <w:bookmarkEnd w:id="676"/>
      <w:bookmarkEnd w:id="677"/>
      <w:bookmarkEnd w:id="678"/>
      <w:bookmarkEnd w:id="679"/>
      <w:bookmarkEnd w:id="680"/>
      <w:bookmarkEnd w:id="681"/>
    </w:p>
    <w:p w14:paraId="0762940B">
      <w:pPr>
        <w:spacing w:line="360" w:lineRule="exact"/>
        <w:jc w:val="center"/>
        <w:rPr>
          <w:color w:val="auto"/>
          <w:sz w:val="36"/>
          <w:szCs w:val="36"/>
          <w:highlight w:val="none"/>
        </w:rPr>
      </w:pPr>
    </w:p>
    <w:p w14:paraId="6BD60C63">
      <w:pPr>
        <w:jc w:val="center"/>
        <w:rPr>
          <w:b/>
          <w:color w:val="auto"/>
          <w:sz w:val="36"/>
          <w:szCs w:val="36"/>
          <w:highlight w:val="none"/>
        </w:rPr>
      </w:pPr>
      <w:r>
        <w:rPr>
          <w:rFonts w:hint="eastAsia"/>
          <w:b/>
          <w:color w:val="auto"/>
          <w:sz w:val="36"/>
          <w:szCs w:val="36"/>
          <w:highlight w:val="none"/>
        </w:rPr>
        <w:t>分项报价表</w:t>
      </w:r>
    </w:p>
    <w:p w14:paraId="0DA61A1E">
      <w:pPr>
        <w:spacing w:line="260" w:lineRule="exact"/>
        <w:jc w:val="center"/>
        <w:rPr>
          <w:color w:val="auto"/>
          <w:sz w:val="36"/>
          <w:szCs w:val="36"/>
          <w:highlight w:val="none"/>
        </w:rPr>
      </w:pPr>
    </w:p>
    <w:p w14:paraId="3844B6F5">
      <w:pPr>
        <w:tabs>
          <w:tab w:val="left" w:pos="1800"/>
          <w:tab w:val="left" w:pos="5580"/>
        </w:tabs>
        <w:ind w:firstLine="480" w:firstLineChars="200"/>
        <w:jc w:val="left"/>
        <w:rPr>
          <w:color w:val="auto"/>
          <w:sz w:val="24"/>
          <w:highlight w:val="none"/>
        </w:rPr>
      </w:pPr>
    </w:p>
    <w:p w14:paraId="3F2BA879">
      <w:pPr>
        <w:jc w:val="center"/>
        <w:outlineLvl w:val="1"/>
        <w:rPr>
          <w:rFonts w:hint="eastAsia" w:ascii="宋体" w:hAnsi="宋体" w:cs="宋体"/>
          <w:b/>
          <w:color w:val="auto"/>
          <w:sz w:val="28"/>
          <w:szCs w:val="28"/>
          <w:highlight w:val="none"/>
        </w:rPr>
      </w:pPr>
      <w:bookmarkStart w:id="682" w:name="_Toc226337258"/>
      <w:bookmarkStart w:id="683" w:name="_Toc142311062"/>
      <w:bookmarkStart w:id="684" w:name="_Toc195842927"/>
      <w:bookmarkStart w:id="685" w:name="_Toc226309806"/>
      <w:bookmarkStart w:id="686" w:name="_Toc226965835"/>
      <w:bookmarkStart w:id="687" w:name="_Toc127151562"/>
      <w:bookmarkStart w:id="688" w:name="_Toc305158904"/>
      <w:bookmarkStart w:id="689" w:name="_Toc150774765"/>
      <w:bookmarkStart w:id="690" w:name="_Toc265228400"/>
      <w:bookmarkStart w:id="691" w:name="_Toc305158830"/>
      <w:bookmarkStart w:id="692" w:name="_Toc150480798"/>
      <w:bookmarkStart w:id="693" w:name="_Toc264969252"/>
      <w:bookmarkStart w:id="694" w:name="_Toc226965752"/>
      <w:bookmarkStart w:id="695" w:name="_Toc150480797"/>
      <w:bookmarkStart w:id="696" w:name="_Toc226965751"/>
      <w:bookmarkStart w:id="697" w:name="_Toc226337257"/>
      <w:bookmarkStart w:id="698" w:name="_Toc305158829"/>
      <w:bookmarkStart w:id="699" w:name="_Toc127151561"/>
      <w:bookmarkStart w:id="700" w:name="_Toc226965834"/>
      <w:bookmarkStart w:id="701" w:name="_Toc265228399"/>
      <w:bookmarkStart w:id="702" w:name="_Toc226309805"/>
      <w:bookmarkStart w:id="703" w:name="_Toc150774764"/>
      <w:bookmarkStart w:id="704" w:name="_Toc305158903"/>
      <w:bookmarkStart w:id="705" w:name="_Toc264969251"/>
      <w:bookmarkStart w:id="706" w:name="_Toc142311061"/>
      <w:bookmarkStart w:id="707" w:name="_Toc195842926"/>
      <w:r>
        <w:rPr>
          <w:rFonts w:hint="eastAsia" w:ascii="宋体" w:hAnsi="宋体" w:cs="宋体"/>
          <w:b/>
          <w:color w:val="auto"/>
          <w:sz w:val="28"/>
          <w:szCs w:val="28"/>
          <w:highlight w:val="none"/>
        </w:rPr>
        <w:t>详见工程量清单</w:t>
      </w:r>
    </w:p>
    <w:p w14:paraId="08EB1123">
      <w:pPr>
        <w:spacing w:line="360" w:lineRule="exact"/>
        <w:outlineLvl w:val="1"/>
        <w:rPr>
          <w:rFonts w:hint="eastAsia" w:ascii="宋体" w:hAnsi="宋体" w:cs="宋体"/>
          <w:b/>
          <w:color w:val="auto"/>
          <w:sz w:val="28"/>
          <w:szCs w:val="28"/>
          <w:highlight w:val="none"/>
        </w:rPr>
      </w:pPr>
    </w:p>
    <w:p w14:paraId="3CFD23C3">
      <w:pPr>
        <w:tabs>
          <w:tab w:val="left" w:pos="1800"/>
          <w:tab w:val="left" w:pos="5580"/>
        </w:tabs>
        <w:ind w:firstLine="480" w:firstLineChars="200"/>
        <w:jc w:val="left"/>
        <w:rPr>
          <w:color w:val="auto"/>
          <w:sz w:val="24"/>
          <w:highlight w:val="none"/>
        </w:rPr>
      </w:pPr>
    </w:p>
    <w:p w14:paraId="5651C495">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9EF72AE">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120F3BE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D7ACE35">
      <w:pPr>
        <w:spacing w:line="360" w:lineRule="auto"/>
        <w:outlineLvl w:val="2"/>
        <w:rPr>
          <w:color w:val="auto"/>
          <w:sz w:val="24"/>
          <w:szCs w:val="20"/>
          <w:highlight w:val="none"/>
        </w:rPr>
      </w:pPr>
      <w:r>
        <w:rPr>
          <w:color w:val="auto"/>
          <w:sz w:val="24"/>
          <w:szCs w:val="20"/>
          <w:highlight w:val="none"/>
        </w:rPr>
        <w:br w:type="page"/>
      </w:r>
      <w:r>
        <w:rPr>
          <w:rFonts w:hint="eastAsia"/>
          <w:color w:val="auto"/>
          <w:sz w:val="24"/>
          <w:szCs w:val="20"/>
          <w:highlight w:val="none"/>
        </w:rPr>
        <w:t>9</w:t>
      </w:r>
      <w:r>
        <w:rPr>
          <w:color w:val="auto"/>
          <w:sz w:val="24"/>
          <w:szCs w:val="20"/>
          <w:highlight w:val="none"/>
        </w:rPr>
        <w:t xml:space="preserve">  合同条款偏离表</w:t>
      </w:r>
      <w:bookmarkEnd w:id="682"/>
      <w:bookmarkEnd w:id="683"/>
      <w:bookmarkEnd w:id="684"/>
      <w:bookmarkEnd w:id="685"/>
      <w:bookmarkEnd w:id="686"/>
      <w:bookmarkEnd w:id="687"/>
      <w:bookmarkEnd w:id="688"/>
      <w:bookmarkEnd w:id="689"/>
      <w:bookmarkEnd w:id="690"/>
      <w:bookmarkEnd w:id="691"/>
      <w:bookmarkEnd w:id="692"/>
      <w:bookmarkEnd w:id="693"/>
      <w:bookmarkEnd w:id="694"/>
    </w:p>
    <w:p w14:paraId="1B45C2AA">
      <w:pPr>
        <w:spacing w:line="360" w:lineRule="auto"/>
        <w:rPr>
          <w:color w:val="auto"/>
          <w:sz w:val="24"/>
          <w:szCs w:val="20"/>
          <w:highlight w:val="none"/>
        </w:rPr>
      </w:pPr>
    </w:p>
    <w:p w14:paraId="5E49AD87">
      <w:pPr>
        <w:jc w:val="center"/>
        <w:rPr>
          <w:b/>
          <w:color w:val="auto"/>
          <w:sz w:val="36"/>
          <w:szCs w:val="36"/>
          <w:highlight w:val="none"/>
        </w:rPr>
      </w:pPr>
      <w:r>
        <w:rPr>
          <w:rFonts w:hint="eastAsia"/>
          <w:b/>
          <w:color w:val="auto"/>
          <w:sz w:val="36"/>
          <w:szCs w:val="36"/>
          <w:highlight w:val="none"/>
        </w:rPr>
        <w:t>合同条款偏离表</w:t>
      </w:r>
    </w:p>
    <w:p w14:paraId="4B92EF9B">
      <w:pPr>
        <w:jc w:val="center"/>
        <w:rPr>
          <w:color w:val="auto"/>
          <w:sz w:val="36"/>
          <w:szCs w:val="36"/>
          <w:highlight w:val="none"/>
        </w:rPr>
      </w:pPr>
    </w:p>
    <w:p w14:paraId="5EFEE5CC">
      <w:pPr>
        <w:spacing w:line="360" w:lineRule="auto"/>
        <w:rPr>
          <w:color w:val="auto"/>
          <w:sz w:val="24"/>
          <w:szCs w:val="20"/>
          <w:highlight w:val="none"/>
        </w:rPr>
      </w:pPr>
    </w:p>
    <w:p w14:paraId="73C2B0CD">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     项目名称：_____________________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1A01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F05A5AE">
            <w:pPr>
              <w:adjustRightInd w:val="0"/>
              <w:snapToGrid w:val="0"/>
              <w:jc w:val="left"/>
              <w:rPr>
                <w:b/>
                <w:color w:val="auto"/>
                <w:sz w:val="24"/>
                <w:highlight w:val="none"/>
              </w:rPr>
            </w:pPr>
            <w:r>
              <w:rPr>
                <w:rFonts w:hint="eastAsia"/>
                <w:b/>
                <w:color w:val="auto"/>
                <w:sz w:val="24"/>
                <w:highlight w:val="none"/>
              </w:rPr>
              <w:t>对本项目合同条款的偏离情况（请进行勾选）：</w:t>
            </w:r>
          </w:p>
          <w:p w14:paraId="66B1CBC4">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4DE309F3">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1724D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91B4861">
            <w:pPr>
              <w:adjustRightInd w:val="0"/>
              <w:snapToGrid w:val="0"/>
              <w:jc w:val="center"/>
              <w:rPr>
                <w:color w:val="auto"/>
                <w:sz w:val="24"/>
                <w:highlight w:val="none"/>
              </w:rPr>
            </w:pPr>
            <w:r>
              <w:rPr>
                <w:color w:val="auto"/>
                <w:sz w:val="24"/>
                <w:highlight w:val="none"/>
              </w:rPr>
              <w:t>序号</w:t>
            </w:r>
          </w:p>
        </w:tc>
        <w:tc>
          <w:tcPr>
            <w:tcW w:w="1290" w:type="dxa"/>
            <w:vAlign w:val="center"/>
          </w:tcPr>
          <w:p w14:paraId="36B48C47">
            <w:pPr>
              <w:adjustRightInd w:val="0"/>
              <w:snapToGrid w:val="0"/>
              <w:jc w:val="center"/>
              <w:rPr>
                <w:color w:val="auto"/>
                <w:sz w:val="24"/>
                <w:highlight w:val="none"/>
              </w:rPr>
            </w:pPr>
            <w:r>
              <w:rPr>
                <w:color w:val="auto"/>
                <w:sz w:val="24"/>
                <w:szCs w:val="21"/>
                <w:highlight w:val="none"/>
              </w:rPr>
              <w:t>磋商文件</w:t>
            </w:r>
            <w:r>
              <w:rPr>
                <w:color w:val="auto"/>
                <w:sz w:val="24"/>
                <w:highlight w:val="none"/>
              </w:rPr>
              <w:t>条目号（页码）</w:t>
            </w:r>
          </w:p>
        </w:tc>
        <w:tc>
          <w:tcPr>
            <w:tcW w:w="1980" w:type="dxa"/>
            <w:vAlign w:val="center"/>
          </w:tcPr>
          <w:p w14:paraId="47764DDE">
            <w:pPr>
              <w:adjustRightInd w:val="0"/>
              <w:snapToGrid w:val="0"/>
              <w:jc w:val="center"/>
              <w:rPr>
                <w:color w:val="auto"/>
                <w:sz w:val="24"/>
                <w:highlight w:val="none"/>
              </w:rPr>
            </w:pPr>
            <w:r>
              <w:rPr>
                <w:color w:val="auto"/>
                <w:sz w:val="24"/>
                <w:szCs w:val="21"/>
                <w:highlight w:val="none"/>
              </w:rPr>
              <w:t>磋商文件</w:t>
            </w:r>
            <w:r>
              <w:rPr>
                <w:color w:val="auto"/>
                <w:sz w:val="24"/>
                <w:highlight w:val="none"/>
              </w:rPr>
              <w:t>要求</w:t>
            </w:r>
          </w:p>
        </w:tc>
        <w:tc>
          <w:tcPr>
            <w:tcW w:w="1981" w:type="dxa"/>
            <w:vAlign w:val="center"/>
          </w:tcPr>
          <w:p w14:paraId="209621D4">
            <w:pPr>
              <w:adjustRightInd w:val="0"/>
              <w:snapToGrid w:val="0"/>
              <w:jc w:val="center"/>
              <w:rPr>
                <w:color w:val="auto"/>
                <w:sz w:val="24"/>
                <w:highlight w:val="none"/>
              </w:rPr>
            </w:pPr>
            <w:r>
              <w:rPr>
                <w:color w:val="auto"/>
                <w:sz w:val="24"/>
                <w:highlight w:val="none"/>
              </w:rPr>
              <w:t>响应文件内容</w:t>
            </w:r>
          </w:p>
        </w:tc>
        <w:tc>
          <w:tcPr>
            <w:tcW w:w="2427" w:type="dxa"/>
            <w:vAlign w:val="center"/>
          </w:tcPr>
          <w:p w14:paraId="3A9C963C">
            <w:pPr>
              <w:adjustRightInd w:val="0"/>
              <w:snapToGrid w:val="0"/>
              <w:jc w:val="center"/>
              <w:rPr>
                <w:color w:val="auto"/>
                <w:sz w:val="24"/>
                <w:highlight w:val="none"/>
              </w:rPr>
            </w:pPr>
            <w:r>
              <w:rPr>
                <w:color w:val="auto"/>
                <w:sz w:val="24"/>
                <w:highlight w:val="none"/>
              </w:rPr>
              <w:t>偏离情况</w:t>
            </w:r>
          </w:p>
          <w:p w14:paraId="243C5BEF">
            <w:pPr>
              <w:adjustRightInd w:val="0"/>
              <w:snapToGrid w:val="0"/>
              <w:jc w:val="center"/>
              <w:rPr>
                <w:color w:val="auto"/>
                <w:sz w:val="24"/>
                <w:highlight w:val="none"/>
              </w:rPr>
            </w:pPr>
            <w:r>
              <w:rPr>
                <w:color w:val="auto"/>
                <w:sz w:val="24"/>
                <w:highlight w:val="none"/>
              </w:rPr>
              <w:t>（据实填写）</w:t>
            </w:r>
          </w:p>
        </w:tc>
        <w:tc>
          <w:tcPr>
            <w:tcW w:w="782" w:type="dxa"/>
            <w:vAlign w:val="center"/>
          </w:tcPr>
          <w:p w14:paraId="3A9F9506">
            <w:pPr>
              <w:adjustRightInd w:val="0"/>
              <w:snapToGrid w:val="0"/>
              <w:jc w:val="center"/>
              <w:rPr>
                <w:color w:val="auto"/>
                <w:sz w:val="24"/>
                <w:highlight w:val="none"/>
              </w:rPr>
            </w:pPr>
            <w:r>
              <w:rPr>
                <w:color w:val="auto"/>
                <w:sz w:val="24"/>
                <w:highlight w:val="none"/>
              </w:rPr>
              <w:t>说明</w:t>
            </w:r>
          </w:p>
        </w:tc>
      </w:tr>
      <w:tr w14:paraId="33BF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CA590D0">
            <w:pPr>
              <w:adjustRightInd w:val="0"/>
              <w:snapToGrid w:val="0"/>
              <w:jc w:val="center"/>
              <w:rPr>
                <w:color w:val="auto"/>
                <w:sz w:val="24"/>
                <w:highlight w:val="none"/>
              </w:rPr>
            </w:pPr>
          </w:p>
        </w:tc>
        <w:tc>
          <w:tcPr>
            <w:tcW w:w="1290" w:type="dxa"/>
            <w:vAlign w:val="center"/>
          </w:tcPr>
          <w:p w14:paraId="76B178C4">
            <w:pPr>
              <w:adjustRightInd w:val="0"/>
              <w:snapToGrid w:val="0"/>
              <w:jc w:val="center"/>
              <w:rPr>
                <w:color w:val="auto"/>
                <w:sz w:val="24"/>
                <w:highlight w:val="none"/>
              </w:rPr>
            </w:pPr>
          </w:p>
        </w:tc>
        <w:tc>
          <w:tcPr>
            <w:tcW w:w="1980" w:type="dxa"/>
            <w:vAlign w:val="center"/>
          </w:tcPr>
          <w:p w14:paraId="1172E520">
            <w:pPr>
              <w:adjustRightInd w:val="0"/>
              <w:snapToGrid w:val="0"/>
              <w:jc w:val="center"/>
              <w:rPr>
                <w:color w:val="auto"/>
                <w:sz w:val="24"/>
                <w:highlight w:val="none"/>
              </w:rPr>
            </w:pPr>
          </w:p>
        </w:tc>
        <w:tc>
          <w:tcPr>
            <w:tcW w:w="1981" w:type="dxa"/>
            <w:vAlign w:val="center"/>
          </w:tcPr>
          <w:p w14:paraId="7FCCC214">
            <w:pPr>
              <w:adjustRightInd w:val="0"/>
              <w:snapToGrid w:val="0"/>
              <w:jc w:val="center"/>
              <w:rPr>
                <w:color w:val="auto"/>
                <w:sz w:val="24"/>
                <w:highlight w:val="none"/>
              </w:rPr>
            </w:pPr>
          </w:p>
        </w:tc>
        <w:tc>
          <w:tcPr>
            <w:tcW w:w="2427" w:type="dxa"/>
            <w:vAlign w:val="center"/>
          </w:tcPr>
          <w:p w14:paraId="6D3E8814">
            <w:pPr>
              <w:adjustRightInd w:val="0"/>
              <w:snapToGrid w:val="0"/>
              <w:jc w:val="center"/>
              <w:rPr>
                <w:color w:val="auto"/>
                <w:sz w:val="24"/>
                <w:highlight w:val="none"/>
              </w:rPr>
            </w:pPr>
          </w:p>
        </w:tc>
        <w:tc>
          <w:tcPr>
            <w:tcW w:w="782" w:type="dxa"/>
            <w:vAlign w:val="center"/>
          </w:tcPr>
          <w:p w14:paraId="12F74933">
            <w:pPr>
              <w:adjustRightInd w:val="0"/>
              <w:snapToGrid w:val="0"/>
              <w:jc w:val="center"/>
              <w:rPr>
                <w:color w:val="auto"/>
                <w:sz w:val="24"/>
                <w:highlight w:val="none"/>
              </w:rPr>
            </w:pPr>
          </w:p>
        </w:tc>
      </w:tr>
      <w:tr w14:paraId="741D1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4E42622">
            <w:pPr>
              <w:adjustRightInd w:val="0"/>
              <w:snapToGrid w:val="0"/>
              <w:jc w:val="center"/>
              <w:rPr>
                <w:color w:val="auto"/>
                <w:sz w:val="24"/>
                <w:highlight w:val="none"/>
              </w:rPr>
            </w:pPr>
          </w:p>
        </w:tc>
        <w:tc>
          <w:tcPr>
            <w:tcW w:w="1290" w:type="dxa"/>
            <w:vAlign w:val="center"/>
          </w:tcPr>
          <w:p w14:paraId="1F97D8EB">
            <w:pPr>
              <w:adjustRightInd w:val="0"/>
              <w:snapToGrid w:val="0"/>
              <w:jc w:val="center"/>
              <w:rPr>
                <w:color w:val="auto"/>
                <w:sz w:val="24"/>
                <w:highlight w:val="none"/>
              </w:rPr>
            </w:pPr>
          </w:p>
        </w:tc>
        <w:tc>
          <w:tcPr>
            <w:tcW w:w="1980" w:type="dxa"/>
            <w:vAlign w:val="center"/>
          </w:tcPr>
          <w:p w14:paraId="1F697ECC">
            <w:pPr>
              <w:adjustRightInd w:val="0"/>
              <w:snapToGrid w:val="0"/>
              <w:jc w:val="center"/>
              <w:rPr>
                <w:color w:val="auto"/>
                <w:sz w:val="24"/>
                <w:highlight w:val="none"/>
              </w:rPr>
            </w:pPr>
          </w:p>
        </w:tc>
        <w:tc>
          <w:tcPr>
            <w:tcW w:w="1981" w:type="dxa"/>
            <w:vAlign w:val="center"/>
          </w:tcPr>
          <w:p w14:paraId="2D322044">
            <w:pPr>
              <w:adjustRightInd w:val="0"/>
              <w:snapToGrid w:val="0"/>
              <w:jc w:val="center"/>
              <w:rPr>
                <w:color w:val="auto"/>
                <w:sz w:val="24"/>
                <w:highlight w:val="none"/>
              </w:rPr>
            </w:pPr>
          </w:p>
        </w:tc>
        <w:tc>
          <w:tcPr>
            <w:tcW w:w="2427" w:type="dxa"/>
            <w:vAlign w:val="center"/>
          </w:tcPr>
          <w:p w14:paraId="770CA778">
            <w:pPr>
              <w:adjustRightInd w:val="0"/>
              <w:snapToGrid w:val="0"/>
              <w:jc w:val="center"/>
              <w:rPr>
                <w:color w:val="auto"/>
                <w:sz w:val="24"/>
                <w:highlight w:val="none"/>
              </w:rPr>
            </w:pPr>
          </w:p>
        </w:tc>
        <w:tc>
          <w:tcPr>
            <w:tcW w:w="782" w:type="dxa"/>
            <w:vAlign w:val="center"/>
          </w:tcPr>
          <w:p w14:paraId="3B818D79">
            <w:pPr>
              <w:adjustRightInd w:val="0"/>
              <w:snapToGrid w:val="0"/>
              <w:jc w:val="center"/>
              <w:rPr>
                <w:color w:val="auto"/>
                <w:sz w:val="24"/>
                <w:highlight w:val="none"/>
              </w:rPr>
            </w:pPr>
          </w:p>
        </w:tc>
      </w:tr>
      <w:tr w14:paraId="1417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C042FE0">
            <w:pPr>
              <w:adjustRightInd w:val="0"/>
              <w:snapToGrid w:val="0"/>
              <w:jc w:val="center"/>
              <w:rPr>
                <w:color w:val="auto"/>
                <w:sz w:val="24"/>
                <w:highlight w:val="none"/>
              </w:rPr>
            </w:pPr>
          </w:p>
        </w:tc>
        <w:tc>
          <w:tcPr>
            <w:tcW w:w="1290" w:type="dxa"/>
            <w:vAlign w:val="center"/>
          </w:tcPr>
          <w:p w14:paraId="67AD62F0">
            <w:pPr>
              <w:adjustRightInd w:val="0"/>
              <w:snapToGrid w:val="0"/>
              <w:jc w:val="center"/>
              <w:rPr>
                <w:color w:val="auto"/>
                <w:sz w:val="24"/>
                <w:highlight w:val="none"/>
              </w:rPr>
            </w:pPr>
          </w:p>
        </w:tc>
        <w:tc>
          <w:tcPr>
            <w:tcW w:w="1980" w:type="dxa"/>
            <w:vAlign w:val="center"/>
          </w:tcPr>
          <w:p w14:paraId="01B984BB">
            <w:pPr>
              <w:adjustRightInd w:val="0"/>
              <w:snapToGrid w:val="0"/>
              <w:jc w:val="center"/>
              <w:rPr>
                <w:color w:val="auto"/>
                <w:sz w:val="24"/>
                <w:highlight w:val="none"/>
              </w:rPr>
            </w:pPr>
          </w:p>
        </w:tc>
        <w:tc>
          <w:tcPr>
            <w:tcW w:w="1981" w:type="dxa"/>
            <w:vAlign w:val="center"/>
          </w:tcPr>
          <w:p w14:paraId="4525B0DB">
            <w:pPr>
              <w:adjustRightInd w:val="0"/>
              <w:snapToGrid w:val="0"/>
              <w:jc w:val="center"/>
              <w:rPr>
                <w:color w:val="auto"/>
                <w:sz w:val="24"/>
                <w:highlight w:val="none"/>
              </w:rPr>
            </w:pPr>
          </w:p>
        </w:tc>
        <w:tc>
          <w:tcPr>
            <w:tcW w:w="2427" w:type="dxa"/>
            <w:vAlign w:val="center"/>
          </w:tcPr>
          <w:p w14:paraId="51FEA0DE">
            <w:pPr>
              <w:adjustRightInd w:val="0"/>
              <w:snapToGrid w:val="0"/>
              <w:jc w:val="center"/>
              <w:rPr>
                <w:color w:val="auto"/>
                <w:sz w:val="24"/>
                <w:highlight w:val="none"/>
              </w:rPr>
            </w:pPr>
          </w:p>
        </w:tc>
        <w:tc>
          <w:tcPr>
            <w:tcW w:w="782" w:type="dxa"/>
            <w:vAlign w:val="center"/>
          </w:tcPr>
          <w:p w14:paraId="306E574A">
            <w:pPr>
              <w:adjustRightInd w:val="0"/>
              <w:snapToGrid w:val="0"/>
              <w:jc w:val="center"/>
              <w:rPr>
                <w:color w:val="auto"/>
                <w:sz w:val="24"/>
                <w:highlight w:val="none"/>
              </w:rPr>
            </w:pPr>
          </w:p>
        </w:tc>
      </w:tr>
      <w:tr w14:paraId="44AB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5D3CFD3">
            <w:pPr>
              <w:adjustRightInd w:val="0"/>
              <w:snapToGrid w:val="0"/>
              <w:jc w:val="center"/>
              <w:rPr>
                <w:color w:val="auto"/>
                <w:sz w:val="24"/>
                <w:highlight w:val="none"/>
              </w:rPr>
            </w:pPr>
          </w:p>
        </w:tc>
        <w:tc>
          <w:tcPr>
            <w:tcW w:w="1290" w:type="dxa"/>
            <w:vAlign w:val="center"/>
          </w:tcPr>
          <w:p w14:paraId="09D8CF29">
            <w:pPr>
              <w:adjustRightInd w:val="0"/>
              <w:snapToGrid w:val="0"/>
              <w:jc w:val="center"/>
              <w:rPr>
                <w:color w:val="auto"/>
                <w:sz w:val="24"/>
                <w:highlight w:val="none"/>
              </w:rPr>
            </w:pPr>
          </w:p>
        </w:tc>
        <w:tc>
          <w:tcPr>
            <w:tcW w:w="1980" w:type="dxa"/>
            <w:vAlign w:val="center"/>
          </w:tcPr>
          <w:p w14:paraId="5D9014E2">
            <w:pPr>
              <w:adjustRightInd w:val="0"/>
              <w:snapToGrid w:val="0"/>
              <w:jc w:val="center"/>
              <w:rPr>
                <w:color w:val="auto"/>
                <w:sz w:val="24"/>
                <w:highlight w:val="none"/>
              </w:rPr>
            </w:pPr>
          </w:p>
        </w:tc>
        <w:tc>
          <w:tcPr>
            <w:tcW w:w="1981" w:type="dxa"/>
            <w:vAlign w:val="center"/>
          </w:tcPr>
          <w:p w14:paraId="7B7E1CC2">
            <w:pPr>
              <w:adjustRightInd w:val="0"/>
              <w:snapToGrid w:val="0"/>
              <w:jc w:val="center"/>
              <w:rPr>
                <w:color w:val="auto"/>
                <w:sz w:val="24"/>
                <w:highlight w:val="none"/>
              </w:rPr>
            </w:pPr>
          </w:p>
        </w:tc>
        <w:tc>
          <w:tcPr>
            <w:tcW w:w="2427" w:type="dxa"/>
            <w:vAlign w:val="center"/>
          </w:tcPr>
          <w:p w14:paraId="30222594">
            <w:pPr>
              <w:adjustRightInd w:val="0"/>
              <w:snapToGrid w:val="0"/>
              <w:jc w:val="center"/>
              <w:rPr>
                <w:color w:val="auto"/>
                <w:sz w:val="24"/>
                <w:highlight w:val="none"/>
              </w:rPr>
            </w:pPr>
          </w:p>
        </w:tc>
        <w:tc>
          <w:tcPr>
            <w:tcW w:w="782" w:type="dxa"/>
            <w:vAlign w:val="center"/>
          </w:tcPr>
          <w:p w14:paraId="29087635">
            <w:pPr>
              <w:adjustRightInd w:val="0"/>
              <w:snapToGrid w:val="0"/>
              <w:jc w:val="center"/>
              <w:rPr>
                <w:color w:val="auto"/>
                <w:sz w:val="24"/>
                <w:highlight w:val="none"/>
              </w:rPr>
            </w:pPr>
          </w:p>
        </w:tc>
      </w:tr>
    </w:tbl>
    <w:p w14:paraId="085D7113">
      <w:pPr>
        <w:tabs>
          <w:tab w:val="left" w:pos="1800"/>
          <w:tab w:val="left" w:pos="5580"/>
        </w:tabs>
        <w:jc w:val="left"/>
        <w:rPr>
          <w:color w:val="auto"/>
          <w:sz w:val="24"/>
          <w:highlight w:val="none"/>
        </w:rPr>
      </w:pPr>
    </w:p>
    <w:p w14:paraId="03C7A825">
      <w:pPr>
        <w:tabs>
          <w:tab w:val="left" w:pos="1800"/>
          <w:tab w:val="left" w:pos="5580"/>
        </w:tabs>
        <w:jc w:val="left"/>
        <w:rPr>
          <w:color w:val="auto"/>
          <w:sz w:val="24"/>
          <w:highlight w:val="none"/>
        </w:rPr>
      </w:pPr>
      <w:r>
        <w:rPr>
          <w:rFonts w:hint="eastAsia"/>
          <w:color w:val="auto"/>
          <w:sz w:val="24"/>
          <w:highlight w:val="none"/>
        </w:rPr>
        <w:t>注：</w:t>
      </w:r>
    </w:p>
    <w:p w14:paraId="1D8A366F">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5A57137E">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5993BA70">
      <w:pPr>
        <w:spacing w:line="360" w:lineRule="auto"/>
        <w:rPr>
          <w:color w:val="auto"/>
          <w:sz w:val="24"/>
          <w:szCs w:val="20"/>
          <w:highlight w:val="none"/>
        </w:rPr>
      </w:pPr>
    </w:p>
    <w:p w14:paraId="1364499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967AC6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694CB125">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E34C337">
      <w:pPr>
        <w:spacing w:line="360" w:lineRule="auto"/>
        <w:outlineLvl w:val="2"/>
        <w:rPr>
          <w:color w:val="auto"/>
          <w:sz w:val="24"/>
          <w:szCs w:val="20"/>
          <w:highlight w:val="none"/>
        </w:rPr>
      </w:pPr>
      <w:r>
        <w:rPr>
          <w:color w:val="auto"/>
          <w:sz w:val="24"/>
          <w:szCs w:val="20"/>
          <w:highlight w:val="none"/>
        </w:rPr>
        <w:br w:type="page"/>
      </w:r>
      <w:r>
        <w:rPr>
          <w:rFonts w:hint="eastAsia"/>
          <w:color w:val="auto"/>
          <w:sz w:val="24"/>
          <w:szCs w:val="20"/>
          <w:highlight w:val="none"/>
        </w:rPr>
        <w:t>10</w:t>
      </w:r>
      <w:r>
        <w:rPr>
          <w:color w:val="auto"/>
          <w:sz w:val="24"/>
          <w:szCs w:val="20"/>
          <w:highlight w:val="none"/>
        </w:rPr>
        <w:t xml:space="preserve"> </w:t>
      </w:r>
      <w:bookmarkEnd w:id="695"/>
      <w:bookmarkEnd w:id="696"/>
      <w:bookmarkEnd w:id="697"/>
      <w:bookmarkEnd w:id="698"/>
      <w:bookmarkEnd w:id="699"/>
      <w:bookmarkEnd w:id="700"/>
      <w:bookmarkEnd w:id="701"/>
      <w:bookmarkEnd w:id="702"/>
      <w:bookmarkEnd w:id="703"/>
      <w:bookmarkEnd w:id="704"/>
      <w:bookmarkEnd w:id="705"/>
      <w:bookmarkEnd w:id="706"/>
      <w:bookmarkEnd w:id="707"/>
      <w:r>
        <w:rPr>
          <w:color w:val="auto"/>
          <w:sz w:val="24"/>
          <w:szCs w:val="20"/>
          <w:highlight w:val="none"/>
        </w:rPr>
        <w:t>采购需求偏离表</w:t>
      </w:r>
    </w:p>
    <w:p w14:paraId="0931E89B">
      <w:pPr>
        <w:jc w:val="center"/>
        <w:rPr>
          <w:b/>
          <w:color w:val="auto"/>
          <w:sz w:val="36"/>
          <w:szCs w:val="36"/>
          <w:highlight w:val="none"/>
        </w:rPr>
      </w:pPr>
      <w:r>
        <w:rPr>
          <w:rFonts w:hint="eastAsia"/>
          <w:b/>
          <w:color w:val="auto"/>
          <w:sz w:val="36"/>
          <w:szCs w:val="36"/>
          <w:highlight w:val="none"/>
        </w:rPr>
        <w:t>采购需求偏离表</w:t>
      </w:r>
    </w:p>
    <w:p w14:paraId="5AB52AB2">
      <w:pPr>
        <w:jc w:val="center"/>
        <w:rPr>
          <w:color w:val="auto"/>
          <w:sz w:val="36"/>
          <w:szCs w:val="36"/>
          <w:highlight w:val="none"/>
        </w:rPr>
      </w:pPr>
    </w:p>
    <w:p w14:paraId="7333C4D4">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7EE7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412F4E0">
            <w:pPr>
              <w:adjustRightInd w:val="0"/>
              <w:snapToGrid w:val="0"/>
              <w:jc w:val="center"/>
              <w:rPr>
                <w:color w:val="auto"/>
                <w:sz w:val="24"/>
                <w:highlight w:val="none"/>
              </w:rPr>
            </w:pPr>
            <w:r>
              <w:rPr>
                <w:color w:val="auto"/>
                <w:sz w:val="24"/>
                <w:highlight w:val="none"/>
              </w:rPr>
              <w:t>序号</w:t>
            </w:r>
          </w:p>
        </w:tc>
        <w:tc>
          <w:tcPr>
            <w:tcW w:w="1482" w:type="dxa"/>
            <w:vAlign w:val="center"/>
          </w:tcPr>
          <w:p w14:paraId="0648F298">
            <w:pPr>
              <w:adjustRightInd w:val="0"/>
              <w:snapToGrid w:val="0"/>
              <w:jc w:val="center"/>
              <w:rPr>
                <w:color w:val="auto"/>
                <w:sz w:val="24"/>
                <w:highlight w:val="none"/>
              </w:rPr>
            </w:pPr>
            <w:r>
              <w:rPr>
                <w:color w:val="auto"/>
                <w:sz w:val="24"/>
                <w:highlight w:val="none"/>
              </w:rPr>
              <w:t>磋商文件条目号(页码)</w:t>
            </w:r>
          </w:p>
        </w:tc>
        <w:tc>
          <w:tcPr>
            <w:tcW w:w="2384" w:type="dxa"/>
            <w:vAlign w:val="center"/>
          </w:tcPr>
          <w:p w14:paraId="378F740E">
            <w:pPr>
              <w:adjustRightInd w:val="0"/>
              <w:snapToGrid w:val="0"/>
              <w:jc w:val="center"/>
              <w:rPr>
                <w:color w:val="auto"/>
                <w:sz w:val="24"/>
                <w:highlight w:val="none"/>
              </w:rPr>
            </w:pPr>
            <w:r>
              <w:rPr>
                <w:color w:val="auto"/>
                <w:sz w:val="24"/>
                <w:highlight w:val="none"/>
              </w:rPr>
              <w:t>磋商文件要求</w:t>
            </w:r>
          </w:p>
        </w:tc>
        <w:tc>
          <w:tcPr>
            <w:tcW w:w="2126" w:type="dxa"/>
            <w:vAlign w:val="center"/>
          </w:tcPr>
          <w:p w14:paraId="156417D4">
            <w:pPr>
              <w:adjustRightInd w:val="0"/>
              <w:snapToGrid w:val="0"/>
              <w:jc w:val="center"/>
              <w:rPr>
                <w:color w:val="auto"/>
                <w:sz w:val="24"/>
                <w:highlight w:val="none"/>
              </w:rPr>
            </w:pPr>
            <w:r>
              <w:rPr>
                <w:color w:val="auto"/>
                <w:sz w:val="24"/>
                <w:highlight w:val="none"/>
              </w:rPr>
              <w:t>响应内容</w:t>
            </w:r>
          </w:p>
        </w:tc>
        <w:tc>
          <w:tcPr>
            <w:tcW w:w="1875" w:type="dxa"/>
            <w:vAlign w:val="center"/>
          </w:tcPr>
          <w:p w14:paraId="3BF2D238">
            <w:pPr>
              <w:adjustRightInd w:val="0"/>
              <w:snapToGrid w:val="0"/>
              <w:jc w:val="center"/>
              <w:rPr>
                <w:color w:val="auto"/>
                <w:sz w:val="24"/>
                <w:highlight w:val="none"/>
              </w:rPr>
            </w:pPr>
            <w:r>
              <w:rPr>
                <w:color w:val="auto"/>
                <w:sz w:val="24"/>
                <w:highlight w:val="none"/>
              </w:rPr>
              <w:t>偏离情况</w:t>
            </w:r>
          </w:p>
          <w:p w14:paraId="6D777CA4">
            <w:pPr>
              <w:adjustRightInd w:val="0"/>
              <w:snapToGrid w:val="0"/>
              <w:jc w:val="center"/>
              <w:rPr>
                <w:color w:val="auto"/>
                <w:sz w:val="24"/>
                <w:highlight w:val="none"/>
              </w:rPr>
            </w:pPr>
            <w:r>
              <w:rPr>
                <w:color w:val="auto"/>
                <w:sz w:val="24"/>
                <w:szCs w:val="21"/>
                <w:highlight w:val="none"/>
              </w:rPr>
              <w:t>（据实填写）</w:t>
            </w:r>
          </w:p>
        </w:tc>
        <w:tc>
          <w:tcPr>
            <w:tcW w:w="1009" w:type="dxa"/>
            <w:vAlign w:val="center"/>
          </w:tcPr>
          <w:p w14:paraId="1BF598AA">
            <w:pPr>
              <w:adjustRightInd w:val="0"/>
              <w:snapToGrid w:val="0"/>
              <w:jc w:val="center"/>
              <w:rPr>
                <w:color w:val="auto"/>
                <w:sz w:val="24"/>
                <w:highlight w:val="none"/>
              </w:rPr>
            </w:pPr>
            <w:r>
              <w:rPr>
                <w:color w:val="auto"/>
                <w:sz w:val="24"/>
                <w:highlight w:val="none"/>
              </w:rPr>
              <w:t>说明</w:t>
            </w:r>
          </w:p>
        </w:tc>
      </w:tr>
      <w:tr w14:paraId="6AAA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BC5D4B">
            <w:pPr>
              <w:adjustRightInd w:val="0"/>
              <w:snapToGrid w:val="0"/>
              <w:jc w:val="center"/>
              <w:rPr>
                <w:color w:val="auto"/>
                <w:sz w:val="24"/>
                <w:highlight w:val="none"/>
              </w:rPr>
            </w:pPr>
          </w:p>
        </w:tc>
        <w:tc>
          <w:tcPr>
            <w:tcW w:w="1482" w:type="dxa"/>
            <w:vAlign w:val="center"/>
          </w:tcPr>
          <w:p w14:paraId="1F53D73F">
            <w:pPr>
              <w:adjustRightInd w:val="0"/>
              <w:snapToGrid w:val="0"/>
              <w:jc w:val="center"/>
              <w:rPr>
                <w:color w:val="auto"/>
                <w:sz w:val="24"/>
                <w:highlight w:val="none"/>
              </w:rPr>
            </w:pPr>
          </w:p>
        </w:tc>
        <w:tc>
          <w:tcPr>
            <w:tcW w:w="2384" w:type="dxa"/>
            <w:vAlign w:val="center"/>
          </w:tcPr>
          <w:p w14:paraId="6E754CEC">
            <w:pPr>
              <w:adjustRightInd w:val="0"/>
              <w:snapToGrid w:val="0"/>
              <w:jc w:val="center"/>
              <w:rPr>
                <w:color w:val="auto"/>
                <w:sz w:val="24"/>
                <w:highlight w:val="none"/>
              </w:rPr>
            </w:pPr>
          </w:p>
        </w:tc>
        <w:tc>
          <w:tcPr>
            <w:tcW w:w="2126" w:type="dxa"/>
            <w:vAlign w:val="center"/>
          </w:tcPr>
          <w:p w14:paraId="2514ED0D">
            <w:pPr>
              <w:adjustRightInd w:val="0"/>
              <w:snapToGrid w:val="0"/>
              <w:jc w:val="center"/>
              <w:rPr>
                <w:color w:val="auto"/>
                <w:sz w:val="24"/>
                <w:highlight w:val="none"/>
              </w:rPr>
            </w:pPr>
          </w:p>
        </w:tc>
        <w:tc>
          <w:tcPr>
            <w:tcW w:w="1875" w:type="dxa"/>
            <w:vAlign w:val="center"/>
          </w:tcPr>
          <w:p w14:paraId="2ED6D42E">
            <w:pPr>
              <w:adjustRightInd w:val="0"/>
              <w:snapToGrid w:val="0"/>
              <w:jc w:val="center"/>
              <w:rPr>
                <w:color w:val="auto"/>
                <w:sz w:val="24"/>
                <w:highlight w:val="none"/>
              </w:rPr>
            </w:pPr>
          </w:p>
        </w:tc>
        <w:tc>
          <w:tcPr>
            <w:tcW w:w="1009" w:type="dxa"/>
            <w:vAlign w:val="center"/>
          </w:tcPr>
          <w:p w14:paraId="0296B4FE">
            <w:pPr>
              <w:adjustRightInd w:val="0"/>
              <w:snapToGrid w:val="0"/>
              <w:jc w:val="center"/>
              <w:rPr>
                <w:color w:val="auto"/>
                <w:sz w:val="24"/>
                <w:highlight w:val="none"/>
              </w:rPr>
            </w:pPr>
          </w:p>
        </w:tc>
      </w:tr>
      <w:tr w14:paraId="11FA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C3F8860">
            <w:pPr>
              <w:adjustRightInd w:val="0"/>
              <w:snapToGrid w:val="0"/>
              <w:jc w:val="center"/>
              <w:rPr>
                <w:color w:val="auto"/>
                <w:sz w:val="24"/>
                <w:highlight w:val="none"/>
              </w:rPr>
            </w:pPr>
          </w:p>
        </w:tc>
        <w:tc>
          <w:tcPr>
            <w:tcW w:w="1482" w:type="dxa"/>
            <w:vAlign w:val="center"/>
          </w:tcPr>
          <w:p w14:paraId="4C5F92A8">
            <w:pPr>
              <w:adjustRightInd w:val="0"/>
              <w:snapToGrid w:val="0"/>
              <w:jc w:val="center"/>
              <w:rPr>
                <w:color w:val="auto"/>
                <w:sz w:val="24"/>
                <w:highlight w:val="none"/>
              </w:rPr>
            </w:pPr>
          </w:p>
        </w:tc>
        <w:tc>
          <w:tcPr>
            <w:tcW w:w="2384" w:type="dxa"/>
            <w:vAlign w:val="center"/>
          </w:tcPr>
          <w:p w14:paraId="098A1153">
            <w:pPr>
              <w:adjustRightInd w:val="0"/>
              <w:snapToGrid w:val="0"/>
              <w:jc w:val="center"/>
              <w:rPr>
                <w:color w:val="auto"/>
                <w:sz w:val="24"/>
                <w:highlight w:val="none"/>
              </w:rPr>
            </w:pPr>
          </w:p>
        </w:tc>
        <w:tc>
          <w:tcPr>
            <w:tcW w:w="2126" w:type="dxa"/>
            <w:vAlign w:val="center"/>
          </w:tcPr>
          <w:p w14:paraId="10C74BE9">
            <w:pPr>
              <w:adjustRightInd w:val="0"/>
              <w:snapToGrid w:val="0"/>
              <w:jc w:val="center"/>
              <w:rPr>
                <w:color w:val="auto"/>
                <w:sz w:val="24"/>
                <w:highlight w:val="none"/>
              </w:rPr>
            </w:pPr>
          </w:p>
        </w:tc>
        <w:tc>
          <w:tcPr>
            <w:tcW w:w="1875" w:type="dxa"/>
            <w:vAlign w:val="center"/>
          </w:tcPr>
          <w:p w14:paraId="48B7EA4F">
            <w:pPr>
              <w:adjustRightInd w:val="0"/>
              <w:snapToGrid w:val="0"/>
              <w:jc w:val="center"/>
              <w:rPr>
                <w:color w:val="auto"/>
                <w:sz w:val="24"/>
                <w:highlight w:val="none"/>
              </w:rPr>
            </w:pPr>
          </w:p>
        </w:tc>
        <w:tc>
          <w:tcPr>
            <w:tcW w:w="1009" w:type="dxa"/>
            <w:vAlign w:val="center"/>
          </w:tcPr>
          <w:p w14:paraId="52A4A92C">
            <w:pPr>
              <w:adjustRightInd w:val="0"/>
              <w:snapToGrid w:val="0"/>
              <w:jc w:val="center"/>
              <w:rPr>
                <w:color w:val="auto"/>
                <w:sz w:val="24"/>
                <w:highlight w:val="none"/>
              </w:rPr>
            </w:pPr>
          </w:p>
        </w:tc>
      </w:tr>
      <w:tr w14:paraId="40E1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F88E8E4">
            <w:pPr>
              <w:adjustRightInd w:val="0"/>
              <w:snapToGrid w:val="0"/>
              <w:jc w:val="center"/>
              <w:rPr>
                <w:color w:val="auto"/>
                <w:sz w:val="24"/>
                <w:highlight w:val="none"/>
              </w:rPr>
            </w:pPr>
          </w:p>
        </w:tc>
        <w:tc>
          <w:tcPr>
            <w:tcW w:w="1482" w:type="dxa"/>
            <w:vAlign w:val="center"/>
          </w:tcPr>
          <w:p w14:paraId="225B5EF4">
            <w:pPr>
              <w:adjustRightInd w:val="0"/>
              <w:snapToGrid w:val="0"/>
              <w:jc w:val="center"/>
              <w:rPr>
                <w:color w:val="auto"/>
                <w:sz w:val="24"/>
                <w:highlight w:val="none"/>
              </w:rPr>
            </w:pPr>
          </w:p>
        </w:tc>
        <w:tc>
          <w:tcPr>
            <w:tcW w:w="2384" w:type="dxa"/>
            <w:vAlign w:val="center"/>
          </w:tcPr>
          <w:p w14:paraId="26566E3D">
            <w:pPr>
              <w:adjustRightInd w:val="0"/>
              <w:snapToGrid w:val="0"/>
              <w:jc w:val="center"/>
              <w:rPr>
                <w:color w:val="auto"/>
                <w:sz w:val="24"/>
                <w:highlight w:val="none"/>
              </w:rPr>
            </w:pPr>
          </w:p>
        </w:tc>
        <w:tc>
          <w:tcPr>
            <w:tcW w:w="2126" w:type="dxa"/>
            <w:vAlign w:val="center"/>
          </w:tcPr>
          <w:p w14:paraId="5CCFEB75">
            <w:pPr>
              <w:adjustRightInd w:val="0"/>
              <w:snapToGrid w:val="0"/>
              <w:jc w:val="center"/>
              <w:rPr>
                <w:color w:val="auto"/>
                <w:sz w:val="24"/>
                <w:highlight w:val="none"/>
              </w:rPr>
            </w:pPr>
          </w:p>
        </w:tc>
        <w:tc>
          <w:tcPr>
            <w:tcW w:w="1875" w:type="dxa"/>
            <w:vAlign w:val="center"/>
          </w:tcPr>
          <w:p w14:paraId="2F88C46B">
            <w:pPr>
              <w:adjustRightInd w:val="0"/>
              <w:snapToGrid w:val="0"/>
              <w:jc w:val="center"/>
              <w:rPr>
                <w:color w:val="auto"/>
                <w:sz w:val="24"/>
                <w:highlight w:val="none"/>
              </w:rPr>
            </w:pPr>
          </w:p>
        </w:tc>
        <w:tc>
          <w:tcPr>
            <w:tcW w:w="1009" w:type="dxa"/>
            <w:vAlign w:val="center"/>
          </w:tcPr>
          <w:p w14:paraId="2CE3F957">
            <w:pPr>
              <w:adjustRightInd w:val="0"/>
              <w:snapToGrid w:val="0"/>
              <w:jc w:val="center"/>
              <w:rPr>
                <w:color w:val="auto"/>
                <w:sz w:val="24"/>
                <w:highlight w:val="none"/>
              </w:rPr>
            </w:pPr>
          </w:p>
        </w:tc>
      </w:tr>
      <w:tr w14:paraId="3DAC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DA69AA2">
            <w:pPr>
              <w:adjustRightInd w:val="0"/>
              <w:snapToGrid w:val="0"/>
              <w:jc w:val="center"/>
              <w:rPr>
                <w:color w:val="auto"/>
                <w:sz w:val="24"/>
                <w:highlight w:val="none"/>
              </w:rPr>
            </w:pPr>
          </w:p>
        </w:tc>
        <w:tc>
          <w:tcPr>
            <w:tcW w:w="1482" w:type="dxa"/>
            <w:vAlign w:val="center"/>
          </w:tcPr>
          <w:p w14:paraId="1B870DAC">
            <w:pPr>
              <w:adjustRightInd w:val="0"/>
              <w:snapToGrid w:val="0"/>
              <w:jc w:val="center"/>
              <w:rPr>
                <w:color w:val="auto"/>
                <w:sz w:val="24"/>
                <w:highlight w:val="none"/>
              </w:rPr>
            </w:pPr>
          </w:p>
        </w:tc>
        <w:tc>
          <w:tcPr>
            <w:tcW w:w="2384" w:type="dxa"/>
            <w:vAlign w:val="center"/>
          </w:tcPr>
          <w:p w14:paraId="27244AA4">
            <w:pPr>
              <w:adjustRightInd w:val="0"/>
              <w:snapToGrid w:val="0"/>
              <w:jc w:val="center"/>
              <w:rPr>
                <w:color w:val="auto"/>
                <w:sz w:val="24"/>
                <w:highlight w:val="none"/>
              </w:rPr>
            </w:pPr>
          </w:p>
        </w:tc>
        <w:tc>
          <w:tcPr>
            <w:tcW w:w="2126" w:type="dxa"/>
            <w:vAlign w:val="center"/>
          </w:tcPr>
          <w:p w14:paraId="3650302C">
            <w:pPr>
              <w:adjustRightInd w:val="0"/>
              <w:snapToGrid w:val="0"/>
              <w:jc w:val="center"/>
              <w:rPr>
                <w:color w:val="auto"/>
                <w:sz w:val="24"/>
                <w:highlight w:val="none"/>
              </w:rPr>
            </w:pPr>
          </w:p>
        </w:tc>
        <w:tc>
          <w:tcPr>
            <w:tcW w:w="1875" w:type="dxa"/>
            <w:vAlign w:val="center"/>
          </w:tcPr>
          <w:p w14:paraId="3D54E379">
            <w:pPr>
              <w:adjustRightInd w:val="0"/>
              <w:snapToGrid w:val="0"/>
              <w:jc w:val="center"/>
              <w:rPr>
                <w:color w:val="auto"/>
                <w:sz w:val="24"/>
                <w:highlight w:val="none"/>
              </w:rPr>
            </w:pPr>
          </w:p>
        </w:tc>
        <w:tc>
          <w:tcPr>
            <w:tcW w:w="1009" w:type="dxa"/>
            <w:vAlign w:val="center"/>
          </w:tcPr>
          <w:p w14:paraId="7CA76A7A">
            <w:pPr>
              <w:adjustRightInd w:val="0"/>
              <w:snapToGrid w:val="0"/>
              <w:jc w:val="center"/>
              <w:rPr>
                <w:color w:val="auto"/>
                <w:sz w:val="24"/>
                <w:highlight w:val="none"/>
              </w:rPr>
            </w:pPr>
          </w:p>
        </w:tc>
      </w:tr>
      <w:tr w14:paraId="23EF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6BA6142">
            <w:pPr>
              <w:adjustRightInd w:val="0"/>
              <w:snapToGrid w:val="0"/>
              <w:jc w:val="center"/>
              <w:rPr>
                <w:color w:val="auto"/>
                <w:sz w:val="24"/>
                <w:highlight w:val="none"/>
              </w:rPr>
            </w:pPr>
          </w:p>
        </w:tc>
        <w:tc>
          <w:tcPr>
            <w:tcW w:w="1482" w:type="dxa"/>
            <w:vAlign w:val="center"/>
          </w:tcPr>
          <w:p w14:paraId="5731F2F2">
            <w:pPr>
              <w:adjustRightInd w:val="0"/>
              <w:snapToGrid w:val="0"/>
              <w:jc w:val="center"/>
              <w:rPr>
                <w:color w:val="auto"/>
                <w:sz w:val="24"/>
                <w:highlight w:val="none"/>
              </w:rPr>
            </w:pPr>
          </w:p>
        </w:tc>
        <w:tc>
          <w:tcPr>
            <w:tcW w:w="2384" w:type="dxa"/>
            <w:vAlign w:val="center"/>
          </w:tcPr>
          <w:p w14:paraId="3242232E">
            <w:pPr>
              <w:adjustRightInd w:val="0"/>
              <w:snapToGrid w:val="0"/>
              <w:jc w:val="center"/>
              <w:rPr>
                <w:color w:val="auto"/>
                <w:sz w:val="24"/>
                <w:highlight w:val="none"/>
              </w:rPr>
            </w:pPr>
          </w:p>
        </w:tc>
        <w:tc>
          <w:tcPr>
            <w:tcW w:w="2126" w:type="dxa"/>
            <w:vAlign w:val="center"/>
          </w:tcPr>
          <w:p w14:paraId="2E4C5974">
            <w:pPr>
              <w:adjustRightInd w:val="0"/>
              <w:snapToGrid w:val="0"/>
              <w:jc w:val="center"/>
              <w:rPr>
                <w:color w:val="auto"/>
                <w:sz w:val="24"/>
                <w:highlight w:val="none"/>
              </w:rPr>
            </w:pPr>
          </w:p>
        </w:tc>
        <w:tc>
          <w:tcPr>
            <w:tcW w:w="1875" w:type="dxa"/>
            <w:vAlign w:val="center"/>
          </w:tcPr>
          <w:p w14:paraId="42108464">
            <w:pPr>
              <w:adjustRightInd w:val="0"/>
              <w:snapToGrid w:val="0"/>
              <w:jc w:val="center"/>
              <w:rPr>
                <w:color w:val="auto"/>
                <w:sz w:val="24"/>
                <w:highlight w:val="none"/>
              </w:rPr>
            </w:pPr>
          </w:p>
        </w:tc>
        <w:tc>
          <w:tcPr>
            <w:tcW w:w="1009" w:type="dxa"/>
            <w:vAlign w:val="center"/>
          </w:tcPr>
          <w:p w14:paraId="0EB3D496">
            <w:pPr>
              <w:adjustRightInd w:val="0"/>
              <w:snapToGrid w:val="0"/>
              <w:jc w:val="center"/>
              <w:rPr>
                <w:color w:val="auto"/>
                <w:sz w:val="24"/>
                <w:highlight w:val="none"/>
              </w:rPr>
            </w:pPr>
          </w:p>
        </w:tc>
      </w:tr>
      <w:tr w14:paraId="065B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908670">
            <w:pPr>
              <w:adjustRightInd w:val="0"/>
              <w:snapToGrid w:val="0"/>
              <w:jc w:val="center"/>
              <w:rPr>
                <w:color w:val="auto"/>
                <w:sz w:val="24"/>
                <w:highlight w:val="none"/>
              </w:rPr>
            </w:pPr>
          </w:p>
        </w:tc>
        <w:tc>
          <w:tcPr>
            <w:tcW w:w="1482" w:type="dxa"/>
            <w:vAlign w:val="center"/>
          </w:tcPr>
          <w:p w14:paraId="058252A1">
            <w:pPr>
              <w:adjustRightInd w:val="0"/>
              <w:snapToGrid w:val="0"/>
              <w:jc w:val="center"/>
              <w:rPr>
                <w:color w:val="auto"/>
                <w:sz w:val="24"/>
                <w:highlight w:val="none"/>
              </w:rPr>
            </w:pPr>
          </w:p>
        </w:tc>
        <w:tc>
          <w:tcPr>
            <w:tcW w:w="2384" w:type="dxa"/>
            <w:vAlign w:val="center"/>
          </w:tcPr>
          <w:p w14:paraId="73A89917">
            <w:pPr>
              <w:adjustRightInd w:val="0"/>
              <w:snapToGrid w:val="0"/>
              <w:jc w:val="center"/>
              <w:rPr>
                <w:color w:val="auto"/>
                <w:sz w:val="24"/>
                <w:highlight w:val="none"/>
              </w:rPr>
            </w:pPr>
          </w:p>
        </w:tc>
        <w:tc>
          <w:tcPr>
            <w:tcW w:w="2126" w:type="dxa"/>
            <w:vAlign w:val="center"/>
          </w:tcPr>
          <w:p w14:paraId="260606CF">
            <w:pPr>
              <w:adjustRightInd w:val="0"/>
              <w:snapToGrid w:val="0"/>
              <w:jc w:val="center"/>
              <w:rPr>
                <w:color w:val="auto"/>
                <w:sz w:val="24"/>
                <w:highlight w:val="none"/>
              </w:rPr>
            </w:pPr>
          </w:p>
        </w:tc>
        <w:tc>
          <w:tcPr>
            <w:tcW w:w="1875" w:type="dxa"/>
            <w:vAlign w:val="center"/>
          </w:tcPr>
          <w:p w14:paraId="50400BFD">
            <w:pPr>
              <w:adjustRightInd w:val="0"/>
              <w:snapToGrid w:val="0"/>
              <w:jc w:val="center"/>
              <w:rPr>
                <w:color w:val="auto"/>
                <w:sz w:val="24"/>
                <w:highlight w:val="none"/>
              </w:rPr>
            </w:pPr>
          </w:p>
        </w:tc>
        <w:tc>
          <w:tcPr>
            <w:tcW w:w="1009" w:type="dxa"/>
            <w:vAlign w:val="center"/>
          </w:tcPr>
          <w:p w14:paraId="4418CC1E">
            <w:pPr>
              <w:adjustRightInd w:val="0"/>
              <w:snapToGrid w:val="0"/>
              <w:jc w:val="center"/>
              <w:rPr>
                <w:color w:val="auto"/>
                <w:sz w:val="24"/>
                <w:highlight w:val="none"/>
              </w:rPr>
            </w:pPr>
          </w:p>
        </w:tc>
      </w:tr>
    </w:tbl>
    <w:p w14:paraId="7AAEE9F4">
      <w:pPr>
        <w:tabs>
          <w:tab w:val="left" w:pos="1800"/>
          <w:tab w:val="left" w:pos="5580"/>
        </w:tabs>
        <w:spacing w:line="360" w:lineRule="auto"/>
        <w:ind w:firstLine="360" w:firstLineChars="150"/>
        <w:jc w:val="left"/>
        <w:rPr>
          <w:color w:val="auto"/>
          <w:sz w:val="24"/>
          <w:highlight w:val="none"/>
          <w:u w:val="single"/>
        </w:rPr>
      </w:pPr>
    </w:p>
    <w:p w14:paraId="235232B3">
      <w:pPr>
        <w:tabs>
          <w:tab w:val="left" w:pos="1800"/>
          <w:tab w:val="left" w:pos="5580"/>
        </w:tabs>
        <w:spacing w:line="360" w:lineRule="auto"/>
        <w:ind w:firstLine="360" w:firstLineChars="150"/>
        <w:jc w:val="left"/>
        <w:rPr>
          <w:color w:val="auto"/>
          <w:sz w:val="24"/>
          <w:highlight w:val="none"/>
          <w:u w:val="single"/>
        </w:rPr>
      </w:pPr>
    </w:p>
    <w:p w14:paraId="236FB6A6">
      <w:pPr>
        <w:tabs>
          <w:tab w:val="left" w:pos="1800"/>
          <w:tab w:val="left" w:pos="5580"/>
        </w:tabs>
        <w:jc w:val="left"/>
        <w:rPr>
          <w:color w:val="auto"/>
          <w:sz w:val="24"/>
          <w:highlight w:val="none"/>
        </w:rPr>
      </w:pPr>
      <w:r>
        <w:rPr>
          <w:color w:val="auto"/>
          <w:sz w:val="24"/>
          <w:highlight w:val="none"/>
        </w:rPr>
        <w:t>注：</w:t>
      </w:r>
    </w:p>
    <w:p w14:paraId="0FBECBEF">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。此表中若无任何文字说明，内容为空白，则</w:t>
      </w:r>
      <w:r>
        <w:rPr>
          <w:b/>
          <w:color w:val="auto"/>
          <w:sz w:val="24"/>
          <w:highlight w:val="none"/>
        </w:rPr>
        <w:t>响应无效</w:t>
      </w:r>
      <w:r>
        <w:rPr>
          <w:color w:val="auto"/>
          <w:sz w:val="24"/>
          <w:highlight w:val="none"/>
        </w:rPr>
        <w:t>。</w:t>
      </w:r>
    </w:p>
    <w:p w14:paraId="25A24A32">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5E0526BF">
      <w:pPr>
        <w:tabs>
          <w:tab w:val="left" w:pos="1800"/>
          <w:tab w:val="left" w:pos="5580"/>
        </w:tabs>
        <w:jc w:val="left"/>
        <w:rPr>
          <w:color w:val="auto"/>
          <w:sz w:val="24"/>
          <w:highlight w:val="none"/>
        </w:rPr>
      </w:pPr>
    </w:p>
    <w:p w14:paraId="06AC4B47">
      <w:pPr>
        <w:rPr>
          <w:color w:val="auto"/>
          <w:sz w:val="24"/>
          <w:szCs w:val="20"/>
          <w:highlight w:val="none"/>
        </w:rPr>
      </w:pPr>
    </w:p>
    <w:p w14:paraId="1AD086C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4CCEA182">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2E16DAA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DD038FA">
      <w:pPr>
        <w:rPr>
          <w:color w:val="auto"/>
          <w:sz w:val="24"/>
          <w:szCs w:val="20"/>
          <w:highlight w:val="none"/>
        </w:rPr>
      </w:pPr>
      <w:r>
        <w:rPr>
          <w:color w:val="auto"/>
          <w:sz w:val="24"/>
          <w:szCs w:val="20"/>
          <w:highlight w:val="none"/>
        </w:rPr>
        <w:br w:type="page"/>
      </w:r>
      <w:r>
        <w:rPr>
          <w:rFonts w:hint="eastAsia"/>
          <w:color w:val="auto"/>
          <w:sz w:val="24"/>
          <w:szCs w:val="20"/>
          <w:highlight w:val="none"/>
        </w:rPr>
        <w:t xml:space="preserve">11 </w:t>
      </w:r>
      <w:r>
        <w:rPr>
          <w:color w:val="auto"/>
          <w:sz w:val="24"/>
          <w:szCs w:val="20"/>
          <w:highlight w:val="none"/>
        </w:rPr>
        <w:t xml:space="preserve"> </w:t>
      </w:r>
      <w:r>
        <w:rPr>
          <w:rFonts w:hint="eastAsia"/>
          <w:color w:val="auto"/>
          <w:sz w:val="24"/>
          <w:szCs w:val="20"/>
          <w:highlight w:val="none"/>
        </w:rPr>
        <w:t>项目实施方案等，包括但不限于如下主题：</w:t>
      </w:r>
    </w:p>
    <w:p w14:paraId="78269AA5">
      <w:pPr>
        <w:snapToGrid w:val="0"/>
        <w:spacing w:line="560" w:lineRule="exact"/>
        <w:ind w:firstLine="480" w:firstLineChars="200"/>
        <w:rPr>
          <w:color w:val="auto"/>
          <w:sz w:val="24"/>
          <w:szCs w:val="20"/>
          <w:highlight w:val="none"/>
        </w:rPr>
      </w:pPr>
      <w:r>
        <w:rPr>
          <w:rFonts w:hint="eastAsia"/>
          <w:color w:val="auto"/>
          <w:sz w:val="24"/>
          <w:szCs w:val="20"/>
          <w:highlight w:val="none"/>
        </w:rPr>
        <w:t>（1）项目总体概述</w:t>
      </w:r>
    </w:p>
    <w:p w14:paraId="7C07A53F">
      <w:pPr>
        <w:snapToGrid w:val="0"/>
        <w:spacing w:line="560" w:lineRule="exact"/>
        <w:ind w:firstLine="480" w:firstLineChars="200"/>
        <w:rPr>
          <w:color w:val="auto"/>
          <w:sz w:val="24"/>
          <w:szCs w:val="20"/>
          <w:highlight w:val="none"/>
        </w:rPr>
      </w:pPr>
      <w:r>
        <w:rPr>
          <w:rFonts w:hint="eastAsia"/>
          <w:color w:val="auto"/>
          <w:sz w:val="24"/>
          <w:szCs w:val="20"/>
          <w:highlight w:val="none"/>
        </w:rPr>
        <w:t>（2）整体施工方案</w:t>
      </w:r>
    </w:p>
    <w:p w14:paraId="4C5B6516">
      <w:pPr>
        <w:snapToGrid w:val="0"/>
        <w:spacing w:line="560" w:lineRule="exact"/>
        <w:ind w:firstLine="480" w:firstLineChars="200"/>
        <w:rPr>
          <w:color w:val="auto"/>
          <w:sz w:val="24"/>
          <w:szCs w:val="20"/>
          <w:highlight w:val="none"/>
        </w:rPr>
      </w:pPr>
      <w:r>
        <w:rPr>
          <w:rFonts w:hint="eastAsia"/>
          <w:color w:val="auto"/>
          <w:sz w:val="24"/>
          <w:szCs w:val="20"/>
          <w:highlight w:val="none"/>
        </w:rPr>
        <w:t>（3）施工进度计划及进度保障措施</w:t>
      </w:r>
    </w:p>
    <w:p w14:paraId="6941D8ED">
      <w:pPr>
        <w:snapToGrid w:val="0"/>
        <w:spacing w:line="560" w:lineRule="exact"/>
        <w:ind w:firstLine="480" w:firstLineChars="200"/>
        <w:rPr>
          <w:color w:val="auto"/>
          <w:sz w:val="24"/>
          <w:szCs w:val="20"/>
          <w:highlight w:val="none"/>
        </w:rPr>
      </w:pPr>
      <w:r>
        <w:rPr>
          <w:rFonts w:hint="eastAsia"/>
          <w:color w:val="auto"/>
          <w:sz w:val="24"/>
          <w:szCs w:val="20"/>
          <w:highlight w:val="none"/>
        </w:rPr>
        <w:t>（4）质量保障措施</w:t>
      </w:r>
    </w:p>
    <w:p w14:paraId="1E2BF76F">
      <w:pPr>
        <w:snapToGrid w:val="0"/>
        <w:spacing w:line="560" w:lineRule="exact"/>
        <w:ind w:firstLine="480" w:firstLineChars="200"/>
        <w:rPr>
          <w:color w:val="auto"/>
          <w:sz w:val="24"/>
          <w:szCs w:val="20"/>
          <w:highlight w:val="none"/>
        </w:rPr>
      </w:pPr>
      <w:r>
        <w:rPr>
          <w:rFonts w:hint="eastAsia"/>
          <w:color w:val="auto"/>
          <w:sz w:val="24"/>
          <w:szCs w:val="20"/>
          <w:highlight w:val="none"/>
        </w:rPr>
        <w:t>（5）安全文明施工措施</w:t>
      </w:r>
    </w:p>
    <w:p w14:paraId="17C0100E">
      <w:pPr>
        <w:snapToGrid w:val="0"/>
        <w:spacing w:line="560" w:lineRule="exact"/>
        <w:ind w:firstLine="480" w:firstLineChars="200"/>
        <w:rPr>
          <w:color w:val="auto"/>
          <w:sz w:val="24"/>
          <w:szCs w:val="20"/>
          <w:highlight w:val="none"/>
        </w:rPr>
      </w:pPr>
      <w:r>
        <w:rPr>
          <w:rFonts w:hint="eastAsia"/>
          <w:color w:val="auto"/>
          <w:sz w:val="24"/>
          <w:szCs w:val="20"/>
          <w:highlight w:val="none"/>
        </w:rPr>
        <w:t>（6）环境保护措施</w:t>
      </w:r>
    </w:p>
    <w:p w14:paraId="3E349B70">
      <w:pPr>
        <w:snapToGrid w:val="0"/>
        <w:spacing w:line="560" w:lineRule="exact"/>
        <w:ind w:firstLine="480" w:firstLineChars="200"/>
        <w:rPr>
          <w:color w:val="auto"/>
          <w:sz w:val="24"/>
          <w:szCs w:val="20"/>
          <w:highlight w:val="none"/>
        </w:rPr>
      </w:pPr>
      <w:r>
        <w:rPr>
          <w:rFonts w:hint="eastAsia"/>
          <w:color w:val="auto"/>
          <w:sz w:val="24"/>
          <w:szCs w:val="20"/>
          <w:highlight w:val="none"/>
        </w:rPr>
        <w:t>（7）关键施工技术、重难点分析及解决方案</w:t>
      </w:r>
    </w:p>
    <w:p w14:paraId="033BF3EE">
      <w:pPr>
        <w:spacing w:line="360" w:lineRule="auto"/>
        <w:outlineLvl w:val="2"/>
        <w:rPr>
          <w:color w:val="auto"/>
          <w:sz w:val="24"/>
          <w:szCs w:val="20"/>
          <w:highlight w:val="none"/>
        </w:rPr>
      </w:pPr>
    </w:p>
    <w:p w14:paraId="2E099594">
      <w:pPr>
        <w:rPr>
          <w:color w:val="auto"/>
          <w:sz w:val="24"/>
          <w:szCs w:val="20"/>
          <w:highlight w:val="none"/>
        </w:rPr>
        <w:sectPr>
          <w:pgSz w:w="11907" w:h="16840"/>
          <w:pgMar w:top="1418" w:right="1134" w:bottom="1418" w:left="1701" w:header="851" w:footer="851" w:gutter="0"/>
          <w:cols w:space="720" w:num="1"/>
          <w:docGrid w:linePitch="462" w:charSpace="0"/>
        </w:sectPr>
      </w:pPr>
    </w:p>
    <w:p w14:paraId="40BC1760">
      <w:pPr>
        <w:rPr>
          <w:color w:val="auto"/>
          <w:sz w:val="24"/>
          <w:szCs w:val="20"/>
          <w:highlight w:val="none"/>
        </w:rPr>
      </w:pPr>
      <w:r>
        <w:rPr>
          <w:rFonts w:hint="eastAsia"/>
          <w:color w:val="auto"/>
          <w:sz w:val="24"/>
          <w:szCs w:val="20"/>
          <w:highlight w:val="none"/>
        </w:rPr>
        <w:t xml:space="preserve"> 12  参加本项目人员一览表</w:t>
      </w:r>
    </w:p>
    <w:p w14:paraId="0AD988BB">
      <w:pPr>
        <w:spacing w:line="360" w:lineRule="auto"/>
        <w:jc w:val="center"/>
        <w:rPr>
          <w:rFonts w:hint="eastAsia" w:ascii="宋体" w:hAnsi="宋体"/>
          <w:b/>
          <w:color w:val="auto"/>
          <w:sz w:val="32"/>
          <w:szCs w:val="32"/>
          <w:highlight w:val="none"/>
        </w:rPr>
      </w:pPr>
    </w:p>
    <w:p w14:paraId="565F3304">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参加本项目人员一览表</w:t>
      </w:r>
    </w:p>
    <w:p w14:paraId="1D350C6D">
      <w:pPr>
        <w:snapToGrid w:val="0"/>
        <w:spacing w:line="360" w:lineRule="auto"/>
        <w:rPr>
          <w:rFonts w:hint="eastAsia" w:ascii="宋体" w:hAnsi="宋体"/>
          <w:color w:val="auto"/>
          <w:sz w:val="22"/>
          <w:highlight w:val="none"/>
        </w:rPr>
      </w:pPr>
    </w:p>
    <w:p w14:paraId="172A81A0">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12"/>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4098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54BB8A4D">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39B58823">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4346A3B">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9DBFFCB">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37F10EF3">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35D751F3">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206FB0AB">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7D95E58">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69054815">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责任</w:t>
            </w:r>
          </w:p>
          <w:p w14:paraId="0AAB400C">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6C4CDD8">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项目经历或主要工作</w:t>
            </w:r>
          </w:p>
          <w:p w14:paraId="2719CE3B">
            <w:pPr>
              <w:tabs>
                <w:tab w:val="left" w:pos="9765"/>
              </w:tabs>
              <w:snapToGrid w:val="0"/>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业绩</w:t>
            </w:r>
          </w:p>
        </w:tc>
      </w:tr>
      <w:tr w14:paraId="0F08E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C04C0B3">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615868">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A8995A1">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B3E011B">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4BD2475">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72C4018">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7A3BD46">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FA0F720">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D357883">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75D3D64">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r>
      <w:tr w14:paraId="3A022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5D86E2">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30C6830">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E05DC58">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1E2ECD2">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9A3E763">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F0BC87">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17D3F50">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CF2C9B6">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312974">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E1014F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r>
      <w:tr w14:paraId="6076C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F1A9270">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970D810">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91D9D94">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330058">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FA1180A">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24434C">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436AAA1">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03CAB2B">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27F71CE">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3DB5DE">
            <w:pPr>
              <w:tabs>
                <w:tab w:val="left" w:pos="9765"/>
              </w:tabs>
              <w:snapToGrid w:val="0"/>
              <w:spacing w:line="360" w:lineRule="auto"/>
              <w:rPr>
                <w:rFonts w:hint="eastAsia" w:ascii="宋体" w:hAnsi="宋体" w:cs="宋体"/>
                <w:color w:val="auto"/>
                <w:sz w:val="24"/>
                <w:highlight w:val="none"/>
              </w:rPr>
            </w:pPr>
          </w:p>
        </w:tc>
      </w:tr>
      <w:tr w14:paraId="7A1D7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84F33C7">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1822533">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8D9C915">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03DCE7">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D3E858E">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29640F9">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94766A0">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8DD9E">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79AD9E7">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AA65527">
            <w:pPr>
              <w:tabs>
                <w:tab w:val="left" w:pos="9765"/>
              </w:tabs>
              <w:snapToGrid w:val="0"/>
              <w:spacing w:line="360" w:lineRule="auto"/>
              <w:rPr>
                <w:rFonts w:hint="eastAsia" w:ascii="宋体" w:hAnsi="宋体" w:cs="宋体"/>
                <w:color w:val="auto"/>
                <w:sz w:val="24"/>
                <w:highlight w:val="none"/>
              </w:rPr>
            </w:pPr>
          </w:p>
        </w:tc>
      </w:tr>
      <w:tr w14:paraId="38944A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69E5EF3">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4AD622D">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A9C2047">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28F2C05">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99888B2">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BC0D614">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E186B3">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9F934CE">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86B8A04">
            <w:pPr>
              <w:tabs>
                <w:tab w:val="left" w:pos="9765"/>
              </w:tabs>
              <w:snapToGrid w:val="0"/>
              <w:spacing w:line="360" w:lineRule="auto"/>
              <w:rPr>
                <w:rFonts w:hint="eastAsia"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09AAAB9">
            <w:pPr>
              <w:tabs>
                <w:tab w:val="left" w:pos="9765"/>
              </w:tabs>
              <w:snapToGrid w:val="0"/>
              <w:spacing w:line="360" w:lineRule="auto"/>
              <w:rPr>
                <w:rFonts w:hint="eastAsia" w:ascii="宋体" w:hAnsi="宋体" w:cs="宋体"/>
                <w:color w:val="auto"/>
                <w:sz w:val="24"/>
                <w:highlight w:val="none"/>
              </w:rPr>
            </w:pPr>
          </w:p>
        </w:tc>
      </w:tr>
      <w:tr w14:paraId="5B6AA0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C0B707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DE7580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F29F976">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853FEA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5E38B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EB3C192">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115AAC6">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7453243">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4A6275C">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540A0EE">
            <w:pPr>
              <w:tabs>
                <w:tab w:val="left" w:pos="9765"/>
              </w:tabs>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w:t>
            </w:r>
          </w:p>
        </w:tc>
      </w:tr>
    </w:tbl>
    <w:p w14:paraId="2492B6A1">
      <w:pPr>
        <w:tabs>
          <w:tab w:val="left" w:pos="9765"/>
        </w:tabs>
        <w:autoSpaceDE w:val="0"/>
        <w:autoSpaceDN w:val="0"/>
        <w:adjustRightInd w:val="0"/>
        <w:snapToGrid w:val="0"/>
        <w:rPr>
          <w:rFonts w:hint="eastAsia" w:ascii="宋体" w:hAnsi="宋体" w:cs="宋体"/>
          <w:b/>
          <w:color w:val="auto"/>
          <w:sz w:val="24"/>
          <w:highlight w:val="none"/>
          <w:lang w:val="zh-CN"/>
        </w:rPr>
      </w:pPr>
    </w:p>
    <w:p w14:paraId="2B75103D">
      <w:pPr>
        <w:tabs>
          <w:tab w:val="left" w:pos="9765"/>
        </w:tabs>
        <w:autoSpaceDE w:val="0"/>
        <w:autoSpaceDN w:val="0"/>
        <w:adjustRightInd w:val="0"/>
        <w:snapToGri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zh-CN"/>
        </w:rPr>
        <w:t>注：参加本项目人员须是供应商正式职工。</w:t>
      </w:r>
    </w:p>
    <w:p w14:paraId="44FCAE28">
      <w:pPr>
        <w:snapToGrid w:val="0"/>
        <w:spacing w:line="360" w:lineRule="auto"/>
        <w:rPr>
          <w:rFonts w:hint="eastAsia" w:ascii="宋体" w:hAnsi="宋体"/>
          <w:color w:val="auto"/>
          <w:sz w:val="24"/>
          <w:highlight w:val="none"/>
        </w:rPr>
      </w:pPr>
    </w:p>
    <w:p w14:paraId="2CB1FEA3">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43827F58">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05C1B6E">
      <w:pPr>
        <w:rPr>
          <w:color w:val="auto"/>
          <w:sz w:val="24"/>
          <w:szCs w:val="20"/>
          <w:highlight w:val="none"/>
        </w:rPr>
      </w:pPr>
      <w:r>
        <w:rPr>
          <w:color w:val="auto"/>
          <w:kern w:val="0"/>
          <w:sz w:val="22"/>
          <w:highlight w:val="none"/>
        </w:rPr>
        <w:br w:type="page"/>
      </w:r>
      <w:bookmarkStart w:id="708" w:name="_Toc288738839"/>
      <w:bookmarkStart w:id="709" w:name="_Toc288738397"/>
      <w:r>
        <w:rPr>
          <w:rFonts w:hint="eastAsia"/>
          <w:color w:val="auto"/>
          <w:sz w:val="24"/>
          <w:szCs w:val="20"/>
          <w:highlight w:val="none"/>
        </w:rPr>
        <w:t>13  相关业绩案例一览表</w:t>
      </w:r>
    </w:p>
    <w:p w14:paraId="6894F0DF">
      <w:pPr>
        <w:rPr>
          <w:color w:val="auto"/>
          <w:sz w:val="24"/>
          <w:szCs w:val="20"/>
          <w:highlight w:val="none"/>
        </w:rPr>
      </w:pPr>
    </w:p>
    <w:p w14:paraId="34E997C5">
      <w:pPr>
        <w:jc w:val="center"/>
        <w:rPr>
          <w:rFonts w:hint="eastAsia" w:ascii="宋体" w:hAnsi="宋体"/>
          <w:b/>
          <w:color w:val="auto"/>
          <w:sz w:val="32"/>
          <w:szCs w:val="32"/>
          <w:highlight w:val="none"/>
        </w:rPr>
      </w:pPr>
      <w:r>
        <w:rPr>
          <w:rFonts w:hint="eastAsia" w:ascii="宋体" w:hAnsi="宋体"/>
          <w:b/>
          <w:color w:val="auto"/>
          <w:sz w:val="32"/>
          <w:szCs w:val="32"/>
          <w:highlight w:val="none"/>
        </w:rPr>
        <w:t>相关业绩案例一览表</w:t>
      </w:r>
      <w:bookmarkEnd w:id="708"/>
      <w:bookmarkEnd w:id="709"/>
    </w:p>
    <w:p w14:paraId="007032FE">
      <w:pPr>
        <w:snapToGrid w:val="0"/>
        <w:spacing w:line="360" w:lineRule="auto"/>
        <w:jc w:val="center"/>
        <w:rPr>
          <w:rFonts w:hint="eastAsia" w:ascii="宋体" w:hAnsi="宋体"/>
          <w:b/>
          <w:color w:val="auto"/>
          <w:sz w:val="28"/>
          <w:szCs w:val="30"/>
          <w:highlight w:val="none"/>
        </w:rPr>
      </w:pPr>
    </w:p>
    <w:p w14:paraId="6B60E64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1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744778CE">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7F6E3D5A">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4334A719">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55FB383B">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1A91A95">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6F6D963A">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5A290F94">
            <w:pPr>
              <w:tabs>
                <w:tab w:val="left" w:pos="9765"/>
              </w:tabs>
              <w:autoSpaceDE w:val="0"/>
              <w:autoSpaceDN w:val="0"/>
              <w:adjustRightInd w:val="0"/>
              <w:snapToGrid w:val="0"/>
              <w:spacing w:line="36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7DA50BE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4F26115">
            <w:pPr>
              <w:tabs>
                <w:tab w:val="left" w:pos="9765"/>
              </w:tabs>
              <w:autoSpaceDE w:val="0"/>
              <w:autoSpaceDN w:val="0"/>
              <w:adjustRightInd w:val="0"/>
              <w:snapToGrid w:val="0"/>
              <w:spacing w:line="360" w:lineRule="auto"/>
              <w:jc w:val="center"/>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1183525A">
            <w:pPr>
              <w:tabs>
                <w:tab w:val="left" w:pos="9765"/>
              </w:tabs>
              <w:autoSpaceDE w:val="0"/>
              <w:autoSpaceDN w:val="0"/>
              <w:adjustRightInd w:val="0"/>
              <w:snapToGrid w:val="0"/>
              <w:spacing w:line="360" w:lineRule="auto"/>
              <w:jc w:val="center"/>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75FAF393">
            <w:pPr>
              <w:tabs>
                <w:tab w:val="left" w:pos="9765"/>
              </w:tabs>
              <w:autoSpaceDE w:val="0"/>
              <w:autoSpaceDN w:val="0"/>
              <w:adjustRightInd w:val="0"/>
              <w:snapToGrid w:val="0"/>
              <w:spacing w:line="360" w:lineRule="auto"/>
              <w:jc w:val="center"/>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375F470A">
            <w:pPr>
              <w:tabs>
                <w:tab w:val="left" w:pos="9765"/>
              </w:tabs>
              <w:autoSpaceDE w:val="0"/>
              <w:autoSpaceDN w:val="0"/>
              <w:adjustRightInd w:val="0"/>
              <w:snapToGrid w:val="0"/>
              <w:spacing w:line="360" w:lineRule="auto"/>
              <w:jc w:val="center"/>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D350F31">
            <w:pPr>
              <w:tabs>
                <w:tab w:val="left" w:pos="9765"/>
              </w:tabs>
              <w:autoSpaceDE w:val="0"/>
              <w:autoSpaceDN w:val="0"/>
              <w:adjustRightInd w:val="0"/>
              <w:snapToGrid w:val="0"/>
              <w:spacing w:line="360" w:lineRule="auto"/>
              <w:ind w:hanging="523"/>
              <w:jc w:val="center"/>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794AC5B">
            <w:pPr>
              <w:tabs>
                <w:tab w:val="left" w:pos="9765"/>
              </w:tabs>
              <w:autoSpaceDE w:val="0"/>
              <w:autoSpaceDN w:val="0"/>
              <w:adjustRightInd w:val="0"/>
              <w:snapToGrid w:val="0"/>
              <w:spacing w:line="360" w:lineRule="auto"/>
              <w:ind w:hanging="523"/>
              <w:jc w:val="center"/>
              <w:rPr>
                <w:rFonts w:hint="eastAsia" w:ascii="宋体" w:hAnsi="宋体" w:cs="宋体"/>
                <w:color w:val="auto"/>
                <w:sz w:val="24"/>
                <w:highlight w:val="none"/>
              </w:rPr>
            </w:pPr>
          </w:p>
        </w:tc>
      </w:tr>
      <w:tr w14:paraId="53D524B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FC78061">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6394D7B0">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0235B98">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77DBC32">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DA9AC2C">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313EDDF1">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0DB7F0D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2EF5DB9">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3EB4DB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51202BC">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6EFFAD2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61A3911B">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029917">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1B50419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49FD1CE">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6240BA47">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8372BF4">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79E1AA4">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770C7B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3CAB8669">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5E9DFDB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0F0F05B">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6641BD3B">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305691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19E2780">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B5E0231">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086CE1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2D6DF3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E1A7F03">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9877EC5">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16F59A">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1D8EAF7">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9BACD4A">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4E625544">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7704225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E1737F9">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BCB4CDD">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1506213">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3CF37B0">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F982B09">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BB7D8C8">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51F27CF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4A60120">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F861858">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660BB36">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7FAFF40">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31F252B">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0CE1EA9F">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r w14:paraId="38A47B0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EB0500A">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CFB80B3">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4785308A">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BA3EBFB">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AA0F1D2">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4B69E5DF">
            <w:pPr>
              <w:tabs>
                <w:tab w:val="left" w:pos="9765"/>
              </w:tabs>
              <w:autoSpaceDE w:val="0"/>
              <w:autoSpaceDN w:val="0"/>
              <w:adjustRightInd w:val="0"/>
              <w:snapToGrid w:val="0"/>
              <w:spacing w:line="360" w:lineRule="auto"/>
              <w:rPr>
                <w:rFonts w:hint="eastAsia" w:ascii="宋体" w:hAnsi="宋体" w:cs="宋体"/>
                <w:color w:val="auto"/>
                <w:sz w:val="24"/>
                <w:highlight w:val="none"/>
              </w:rPr>
            </w:pPr>
          </w:p>
        </w:tc>
      </w:tr>
    </w:tbl>
    <w:p w14:paraId="191054F2">
      <w:pPr>
        <w:tabs>
          <w:tab w:val="left" w:pos="9765"/>
        </w:tabs>
        <w:autoSpaceDE w:val="0"/>
        <w:autoSpaceDN w:val="0"/>
        <w:adjustRightInd w:val="0"/>
        <w:snapToGrid w:val="0"/>
        <w:rPr>
          <w:rFonts w:hint="eastAsia" w:ascii="宋体" w:hAnsi="宋体" w:cs="宋体"/>
          <w:color w:val="auto"/>
          <w:sz w:val="24"/>
          <w:highlight w:val="none"/>
          <w:lang w:val="zh-CN"/>
        </w:rPr>
      </w:pPr>
    </w:p>
    <w:p w14:paraId="2297917F">
      <w:pPr>
        <w:snapToGrid w:val="0"/>
        <w:spacing w:line="360" w:lineRule="auto"/>
        <w:rPr>
          <w:rFonts w:hint="eastAsia" w:ascii="宋体" w:hAnsi="宋体" w:cs="宋体"/>
          <w:color w:val="auto"/>
          <w:sz w:val="24"/>
          <w:highlight w:val="none"/>
        </w:rPr>
      </w:pPr>
    </w:p>
    <w:p w14:paraId="2BB576DA">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6B9D4822">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E5305F">
      <w:pPr>
        <w:spacing w:line="360" w:lineRule="auto"/>
        <w:outlineLvl w:val="2"/>
        <w:rPr>
          <w:color w:val="auto"/>
          <w:sz w:val="24"/>
          <w:szCs w:val="20"/>
          <w:highlight w:val="none"/>
        </w:rPr>
      </w:pPr>
    </w:p>
    <w:p w14:paraId="727D7544">
      <w:pPr>
        <w:spacing w:line="360" w:lineRule="auto"/>
        <w:outlineLvl w:val="2"/>
        <w:rPr>
          <w:color w:val="auto"/>
          <w:sz w:val="24"/>
          <w:szCs w:val="20"/>
          <w:highlight w:val="none"/>
        </w:rPr>
      </w:pPr>
    </w:p>
    <w:p w14:paraId="520899DA">
      <w:pPr>
        <w:spacing w:line="360" w:lineRule="auto"/>
        <w:outlineLvl w:val="2"/>
        <w:rPr>
          <w:color w:val="auto"/>
          <w:sz w:val="24"/>
          <w:szCs w:val="20"/>
          <w:highlight w:val="none"/>
        </w:rPr>
      </w:pPr>
    </w:p>
    <w:p w14:paraId="2F032C9E">
      <w:pPr>
        <w:spacing w:line="360" w:lineRule="auto"/>
        <w:outlineLvl w:val="2"/>
        <w:rPr>
          <w:color w:val="auto"/>
          <w:sz w:val="24"/>
          <w:szCs w:val="20"/>
          <w:highlight w:val="none"/>
        </w:rPr>
      </w:pPr>
    </w:p>
    <w:p w14:paraId="27D37CDF">
      <w:pPr>
        <w:spacing w:line="360" w:lineRule="auto"/>
        <w:outlineLvl w:val="2"/>
        <w:rPr>
          <w:color w:val="auto"/>
          <w:sz w:val="24"/>
          <w:highlight w:val="none"/>
        </w:rPr>
      </w:pPr>
      <w:r>
        <w:rPr>
          <w:color w:val="auto"/>
          <w:sz w:val="24"/>
          <w:szCs w:val="20"/>
          <w:highlight w:val="none"/>
        </w:rPr>
        <w:br w:type="page"/>
      </w:r>
      <w:r>
        <w:rPr>
          <w:color w:val="auto"/>
          <w:sz w:val="24"/>
          <w:szCs w:val="20"/>
          <w:highlight w:val="none"/>
        </w:rPr>
        <w:t>1</w:t>
      </w:r>
      <w:r>
        <w:rPr>
          <w:rFonts w:hint="eastAsia"/>
          <w:color w:val="auto"/>
          <w:sz w:val="24"/>
          <w:szCs w:val="20"/>
          <w:highlight w:val="none"/>
        </w:rPr>
        <w:t>4</w:t>
      </w:r>
      <w:r>
        <w:rPr>
          <w:color w:val="auto"/>
          <w:sz w:val="24"/>
          <w:szCs w:val="20"/>
          <w:highlight w:val="none"/>
        </w:rPr>
        <w:t xml:space="preserve">  磋商文件要求提供或供应商认为应附的其他材料</w:t>
      </w:r>
    </w:p>
    <w:p w14:paraId="776A37D2">
      <w:pPr>
        <w:rPr>
          <w:b/>
          <w:color w:val="auto"/>
          <w:sz w:val="36"/>
          <w:szCs w:val="36"/>
          <w:highlight w:val="none"/>
        </w:rPr>
      </w:pPr>
    </w:p>
    <w:p w14:paraId="40EC7810">
      <w:pPr>
        <w:rPr>
          <w:color w:val="auto"/>
          <w:sz w:val="24"/>
          <w:highlight w:val="none"/>
          <w:lang w:val="zh-CN"/>
        </w:rPr>
      </w:pPr>
      <w:r>
        <w:rPr>
          <w:color w:val="auto"/>
          <w:sz w:val="24"/>
          <w:szCs w:val="20"/>
          <w:highlight w:val="none"/>
        </w:rPr>
        <w:t xml:space="preserve"> </w:t>
      </w:r>
    </w:p>
    <w:p w14:paraId="4AC6D28E">
      <w:pPr>
        <w:widowControl/>
        <w:jc w:val="left"/>
        <w:rPr>
          <w:b/>
          <w:color w:val="auto"/>
          <w:sz w:val="36"/>
          <w:szCs w:val="36"/>
          <w:highlight w:val="none"/>
        </w:rPr>
      </w:pPr>
    </w:p>
    <w:p w14:paraId="48887C22">
      <w:pPr>
        <w:rPr>
          <w:color w:val="auto"/>
          <w:highlight w:val="none"/>
        </w:rPr>
      </w:pPr>
    </w:p>
    <w:bookmarkEnd w:id="710"/>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KSOFBDAA233C">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E7990">
    <w:pPr>
      <w:pStyle w:val="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8DA7C">
    <w:pPr>
      <w:pStyle w:val="9"/>
      <w:framePr w:wrap="around" w:vAnchor="text" w:hAnchor="margin" w:xAlign="center" w:y="1"/>
      <w:rPr>
        <w:rStyle w:val="14"/>
      </w:rPr>
    </w:pPr>
    <w:r>
      <w:fldChar w:fldCharType="begin"/>
    </w:r>
    <w:r>
      <w:rPr>
        <w:rStyle w:val="14"/>
      </w:rPr>
      <w:instrText xml:space="preserve">PAGE  </w:instrText>
    </w:r>
    <w:r>
      <w:fldChar w:fldCharType="end"/>
    </w:r>
  </w:p>
  <w:p w14:paraId="19A2AADB">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02F5">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FDE4C">
    <w:pPr>
      <w:pStyle w:val="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EA0205">
                          <w:pPr>
                            <w:pStyle w:val="9"/>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51EA0205">
                    <w:pPr>
                      <w:pStyle w:val="9"/>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3FEC2">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554E49">
                          <w:pPr>
                            <w:pStyle w:val="9"/>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3554E49">
                    <w:pPr>
                      <w:pStyle w:val="9"/>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564C6">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41F7C11E">
    <w:pPr>
      <w:pStyle w:val="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74029">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6FA569AA">
    <w:pPr>
      <w:pStyle w:val="9"/>
      <w:ind w:right="360"/>
    </w:pPr>
  </w:p>
  <w:p w14:paraId="37D399D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2AA6">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BA3BF">
    <w:pPr>
      <w:pStyle w:val="10"/>
      <w:jc w:val="right"/>
    </w:pPr>
    <w:r>
      <w:rPr>
        <w:rFonts w:hint="eastAsia"/>
      </w:rPr>
      <w:t>常州卫生高等职业技术学校2026年暑期修缮项目竞争性磋商文件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4E119">
    <w:pPr>
      <w:pStyle w:val="10"/>
      <w:pBdr>
        <w:bottom w:val="single" w:color="auto" w:sz="4" w:space="1"/>
      </w:pBdr>
      <w:jc w:val="right"/>
    </w:pPr>
    <w:r>
      <w:rPr>
        <w:rFonts w:hint="eastAsia"/>
      </w:rPr>
      <w:t>常州卫生高等职业技术学校2026年暑期修缮项目竞争性磋商文件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1E386">
    <w:pPr>
      <w:pStyle w:val="10"/>
    </w:pPr>
  </w:p>
  <w:p w14:paraId="3E7251B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0B955">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zMmFhMDA3ZTkyMWVkZDI1Mzg5Y2U4ZGMzM2IxNjkifQ=="/>
    <w:docVar w:name="KSO_WPS_MARK_KEY" w:val="3e19a8c2-64c9-4a47-b4ae-120f07e57314"/>
  </w:docVars>
  <w:rsids>
    <w:rsidRoot w:val="6E5D386A"/>
    <w:rsid w:val="00643BE3"/>
    <w:rsid w:val="00860211"/>
    <w:rsid w:val="00880E62"/>
    <w:rsid w:val="00997D30"/>
    <w:rsid w:val="00A94801"/>
    <w:rsid w:val="00AC0606"/>
    <w:rsid w:val="011F5CB6"/>
    <w:rsid w:val="012F752D"/>
    <w:rsid w:val="0147153B"/>
    <w:rsid w:val="015772A4"/>
    <w:rsid w:val="016C2C93"/>
    <w:rsid w:val="02825959"/>
    <w:rsid w:val="02A14C7A"/>
    <w:rsid w:val="02B2516F"/>
    <w:rsid w:val="038A1BB2"/>
    <w:rsid w:val="038D592F"/>
    <w:rsid w:val="03F37758"/>
    <w:rsid w:val="041B3604"/>
    <w:rsid w:val="045A3333"/>
    <w:rsid w:val="0495080F"/>
    <w:rsid w:val="05B26319"/>
    <w:rsid w:val="05BC3CF7"/>
    <w:rsid w:val="05D52550"/>
    <w:rsid w:val="06037A7D"/>
    <w:rsid w:val="06232221"/>
    <w:rsid w:val="06891AC1"/>
    <w:rsid w:val="0709178E"/>
    <w:rsid w:val="08070D6B"/>
    <w:rsid w:val="08275C22"/>
    <w:rsid w:val="08CE0A58"/>
    <w:rsid w:val="094C4255"/>
    <w:rsid w:val="098B6AD1"/>
    <w:rsid w:val="09E4363A"/>
    <w:rsid w:val="09E808F0"/>
    <w:rsid w:val="0A582AC6"/>
    <w:rsid w:val="0A93759F"/>
    <w:rsid w:val="0AD96F7B"/>
    <w:rsid w:val="0B0E5765"/>
    <w:rsid w:val="0B8B0B7B"/>
    <w:rsid w:val="0BA66CC6"/>
    <w:rsid w:val="0BCD5CDF"/>
    <w:rsid w:val="0BF3656C"/>
    <w:rsid w:val="0C177D5B"/>
    <w:rsid w:val="0C193AD3"/>
    <w:rsid w:val="0C5673DD"/>
    <w:rsid w:val="0C6752B7"/>
    <w:rsid w:val="0D0522AA"/>
    <w:rsid w:val="0D602343"/>
    <w:rsid w:val="0DBD114B"/>
    <w:rsid w:val="0E715E49"/>
    <w:rsid w:val="0ECD4B44"/>
    <w:rsid w:val="0FC76BED"/>
    <w:rsid w:val="0FCE72CB"/>
    <w:rsid w:val="10312CD7"/>
    <w:rsid w:val="1073769E"/>
    <w:rsid w:val="107C6A6C"/>
    <w:rsid w:val="10EE4E82"/>
    <w:rsid w:val="12AC6C3B"/>
    <w:rsid w:val="12C927BB"/>
    <w:rsid w:val="13233662"/>
    <w:rsid w:val="137A74DF"/>
    <w:rsid w:val="139F20ED"/>
    <w:rsid w:val="142D01AE"/>
    <w:rsid w:val="14952165"/>
    <w:rsid w:val="149D115E"/>
    <w:rsid w:val="14F450DE"/>
    <w:rsid w:val="15437E13"/>
    <w:rsid w:val="15EC4FCA"/>
    <w:rsid w:val="161157A6"/>
    <w:rsid w:val="170840D6"/>
    <w:rsid w:val="17487963"/>
    <w:rsid w:val="17681DB3"/>
    <w:rsid w:val="178845AC"/>
    <w:rsid w:val="18491BE4"/>
    <w:rsid w:val="189C1857"/>
    <w:rsid w:val="18B55378"/>
    <w:rsid w:val="19056169"/>
    <w:rsid w:val="192F40A1"/>
    <w:rsid w:val="198A0435"/>
    <w:rsid w:val="19B0396B"/>
    <w:rsid w:val="1A23727F"/>
    <w:rsid w:val="1A442663"/>
    <w:rsid w:val="1A644AB4"/>
    <w:rsid w:val="1AFF7B66"/>
    <w:rsid w:val="1B440441"/>
    <w:rsid w:val="1B7C4BEE"/>
    <w:rsid w:val="1C177904"/>
    <w:rsid w:val="1C8925AF"/>
    <w:rsid w:val="1C976CDD"/>
    <w:rsid w:val="1CF118D4"/>
    <w:rsid w:val="1DE958ED"/>
    <w:rsid w:val="1E31252C"/>
    <w:rsid w:val="1E577806"/>
    <w:rsid w:val="1F2E4285"/>
    <w:rsid w:val="1F861028"/>
    <w:rsid w:val="1F8D23B7"/>
    <w:rsid w:val="1F901EBC"/>
    <w:rsid w:val="20232075"/>
    <w:rsid w:val="21041119"/>
    <w:rsid w:val="219F145C"/>
    <w:rsid w:val="220345DE"/>
    <w:rsid w:val="223D6650"/>
    <w:rsid w:val="22723029"/>
    <w:rsid w:val="22981820"/>
    <w:rsid w:val="229B303C"/>
    <w:rsid w:val="234818B4"/>
    <w:rsid w:val="234A0C57"/>
    <w:rsid w:val="23593C8E"/>
    <w:rsid w:val="239F4DAE"/>
    <w:rsid w:val="243C25FD"/>
    <w:rsid w:val="2457742E"/>
    <w:rsid w:val="246D5167"/>
    <w:rsid w:val="24A95133"/>
    <w:rsid w:val="24CA7C09"/>
    <w:rsid w:val="258778A8"/>
    <w:rsid w:val="25BC382C"/>
    <w:rsid w:val="26C32B62"/>
    <w:rsid w:val="279B6C2D"/>
    <w:rsid w:val="27A460F5"/>
    <w:rsid w:val="27BD01A6"/>
    <w:rsid w:val="2885632C"/>
    <w:rsid w:val="291B4ED7"/>
    <w:rsid w:val="2A3526B7"/>
    <w:rsid w:val="2A353D77"/>
    <w:rsid w:val="2AA43736"/>
    <w:rsid w:val="2B033E75"/>
    <w:rsid w:val="2B7E52A9"/>
    <w:rsid w:val="2B8A6344"/>
    <w:rsid w:val="2BBA30C1"/>
    <w:rsid w:val="2C04684A"/>
    <w:rsid w:val="2C9F197B"/>
    <w:rsid w:val="2CD54DA5"/>
    <w:rsid w:val="2D246795"/>
    <w:rsid w:val="2D4517DA"/>
    <w:rsid w:val="2DAC33B3"/>
    <w:rsid w:val="2DB66F7C"/>
    <w:rsid w:val="2DD3200B"/>
    <w:rsid w:val="2DDC26A4"/>
    <w:rsid w:val="2E516A26"/>
    <w:rsid w:val="2E97542F"/>
    <w:rsid w:val="2ED7496F"/>
    <w:rsid w:val="2F245190"/>
    <w:rsid w:val="308B0772"/>
    <w:rsid w:val="31997CB4"/>
    <w:rsid w:val="32604CE6"/>
    <w:rsid w:val="32843E49"/>
    <w:rsid w:val="328D3E75"/>
    <w:rsid w:val="330437C6"/>
    <w:rsid w:val="33324C56"/>
    <w:rsid w:val="33786F3D"/>
    <w:rsid w:val="34060958"/>
    <w:rsid w:val="34BD0DD0"/>
    <w:rsid w:val="34C52EC2"/>
    <w:rsid w:val="34D547E6"/>
    <w:rsid w:val="358E747B"/>
    <w:rsid w:val="359F29EC"/>
    <w:rsid w:val="35BE6A5D"/>
    <w:rsid w:val="362D7FF8"/>
    <w:rsid w:val="363D72EF"/>
    <w:rsid w:val="36992CCD"/>
    <w:rsid w:val="36EF34FF"/>
    <w:rsid w:val="36F17277"/>
    <w:rsid w:val="370B62AA"/>
    <w:rsid w:val="37A7763F"/>
    <w:rsid w:val="37BD53AB"/>
    <w:rsid w:val="37C8622A"/>
    <w:rsid w:val="37EB10B0"/>
    <w:rsid w:val="38AA1794"/>
    <w:rsid w:val="38AE3672"/>
    <w:rsid w:val="39887DF1"/>
    <w:rsid w:val="3A3221F1"/>
    <w:rsid w:val="3A737C3C"/>
    <w:rsid w:val="3AC3717D"/>
    <w:rsid w:val="3AE233D4"/>
    <w:rsid w:val="3AEC57BB"/>
    <w:rsid w:val="3B3140E6"/>
    <w:rsid w:val="3B3E1D04"/>
    <w:rsid w:val="3BBB7067"/>
    <w:rsid w:val="3C0A2E3F"/>
    <w:rsid w:val="3C4C7857"/>
    <w:rsid w:val="3C812135"/>
    <w:rsid w:val="3CC7638F"/>
    <w:rsid w:val="3CF93922"/>
    <w:rsid w:val="3E4B54BF"/>
    <w:rsid w:val="3E67017E"/>
    <w:rsid w:val="3EA77349"/>
    <w:rsid w:val="3F1134F2"/>
    <w:rsid w:val="3F6727CC"/>
    <w:rsid w:val="3FFE1372"/>
    <w:rsid w:val="403221B3"/>
    <w:rsid w:val="40750F19"/>
    <w:rsid w:val="40AB0497"/>
    <w:rsid w:val="416E08D0"/>
    <w:rsid w:val="42482511"/>
    <w:rsid w:val="424E419F"/>
    <w:rsid w:val="425357A7"/>
    <w:rsid w:val="438B3B5A"/>
    <w:rsid w:val="43E45E93"/>
    <w:rsid w:val="4411350E"/>
    <w:rsid w:val="446136D6"/>
    <w:rsid w:val="44BA339E"/>
    <w:rsid w:val="44D0671E"/>
    <w:rsid w:val="45597815"/>
    <w:rsid w:val="457E3A30"/>
    <w:rsid w:val="468036F5"/>
    <w:rsid w:val="46CA4CA9"/>
    <w:rsid w:val="47C562E2"/>
    <w:rsid w:val="47D77DC3"/>
    <w:rsid w:val="48580F04"/>
    <w:rsid w:val="48B53DC5"/>
    <w:rsid w:val="48BD16AF"/>
    <w:rsid w:val="49066BB2"/>
    <w:rsid w:val="49517217"/>
    <w:rsid w:val="4973736E"/>
    <w:rsid w:val="49BE425B"/>
    <w:rsid w:val="49F42EAF"/>
    <w:rsid w:val="4A121587"/>
    <w:rsid w:val="4AC960E9"/>
    <w:rsid w:val="4ACF67C0"/>
    <w:rsid w:val="4B8B339F"/>
    <w:rsid w:val="4B934894"/>
    <w:rsid w:val="4BF766AC"/>
    <w:rsid w:val="4C60482B"/>
    <w:rsid w:val="4C63256E"/>
    <w:rsid w:val="4C72455F"/>
    <w:rsid w:val="4C782B26"/>
    <w:rsid w:val="4C7A2190"/>
    <w:rsid w:val="4CA70A70"/>
    <w:rsid w:val="4D0258E3"/>
    <w:rsid w:val="4D5A127B"/>
    <w:rsid w:val="4DA93FB0"/>
    <w:rsid w:val="4DD80905"/>
    <w:rsid w:val="4DDA23BB"/>
    <w:rsid w:val="4E17648E"/>
    <w:rsid w:val="4EE647F9"/>
    <w:rsid w:val="4F8847C5"/>
    <w:rsid w:val="4FE237A9"/>
    <w:rsid w:val="50D13F4A"/>
    <w:rsid w:val="518F5863"/>
    <w:rsid w:val="51BC0228"/>
    <w:rsid w:val="522307D5"/>
    <w:rsid w:val="527E5A0B"/>
    <w:rsid w:val="529308D2"/>
    <w:rsid w:val="529E2F26"/>
    <w:rsid w:val="52EA4C72"/>
    <w:rsid w:val="52EA4E4F"/>
    <w:rsid w:val="53386CD6"/>
    <w:rsid w:val="535C031D"/>
    <w:rsid w:val="53C02935"/>
    <w:rsid w:val="53DE61DE"/>
    <w:rsid w:val="544E1410"/>
    <w:rsid w:val="54A77C82"/>
    <w:rsid w:val="5511700B"/>
    <w:rsid w:val="55C46DAE"/>
    <w:rsid w:val="56927CD7"/>
    <w:rsid w:val="56B849B7"/>
    <w:rsid w:val="57476D14"/>
    <w:rsid w:val="57B17F9E"/>
    <w:rsid w:val="57F6757F"/>
    <w:rsid w:val="58020E8D"/>
    <w:rsid w:val="58111D92"/>
    <w:rsid w:val="58523BC2"/>
    <w:rsid w:val="589E6E07"/>
    <w:rsid w:val="58B55EFF"/>
    <w:rsid w:val="5918449B"/>
    <w:rsid w:val="593926A6"/>
    <w:rsid w:val="593B28A8"/>
    <w:rsid w:val="59547B79"/>
    <w:rsid w:val="59861649"/>
    <w:rsid w:val="5A0E3B19"/>
    <w:rsid w:val="5A2C11CD"/>
    <w:rsid w:val="5A490FF5"/>
    <w:rsid w:val="5A5966D0"/>
    <w:rsid w:val="5A7122F9"/>
    <w:rsid w:val="5A9F6E67"/>
    <w:rsid w:val="5AEF59F3"/>
    <w:rsid w:val="5AF32D0E"/>
    <w:rsid w:val="5AF4436C"/>
    <w:rsid w:val="5C525E9E"/>
    <w:rsid w:val="5CBC5002"/>
    <w:rsid w:val="5CDC7F59"/>
    <w:rsid w:val="5CF1710A"/>
    <w:rsid w:val="5D091059"/>
    <w:rsid w:val="5D1A0A26"/>
    <w:rsid w:val="5E115985"/>
    <w:rsid w:val="5EC510D8"/>
    <w:rsid w:val="5F1D6F3C"/>
    <w:rsid w:val="5F7062F0"/>
    <w:rsid w:val="5F7217A7"/>
    <w:rsid w:val="60536729"/>
    <w:rsid w:val="608E59B3"/>
    <w:rsid w:val="60D02615"/>
    <w:rsid w:val="61107851"/>
    <w:rsid w:val="62BA005E"/>
    <w:rsid w:val="631A52DC"/>
    <w:rsid w:val="637B1AF3"/>
    <w:rsid w:val="639257BA"/>
    <w:rsid w:val="642D7291"/>
    <w:rsid w:val="6523255C"/>
    <w:rsid w:val="654D2100"/>
    <w:rsid w:val="656C3734"/>
    <w:rsid w:val="65892E76"/>
    <w:rsid w:val="659F06A6"/>
    <w:rsid w:val="66157FDD"/>
    <w:rsid w:val="661B018A"/>
    <w:rsid w:val="662A7F2C"/>
    <w:rsid w:val="66925AD1"/>
    <w:rsid w:val="66AC2781"/>
    <w:rsid w:val="6740552D"/>
    <w:rsid w:val="67BE75D8"/>
    <w:rsid w:val="6A086F97"/>
    <w:rsid w:val="6A266C5C"/>
    <w:rsid w:val="6AC579A2"/>
    <w:rsid w:val="6B7400A5"/>
    <w:rsid w:val="6C506213"/>
    <w:rsid w:val="6CAA7610"/>
    <w:rsid w:val="6CEB7CE9"/>
    <w:rsid w:val="6D084167"/>
    <w:rsid w:val="6D5E04BB"/>
    <w:rsid w:val="6E5D386A"/>
    <w:rsid w:val="70D32F6E"/>
    <w:rsid w:val="7155100A"/>
    <w:rsid w:val="71B64922"/>
    <w:rsid w:val="71CB1BFA"/>
    <w:rsid w:val="72100BFB"/>
    <w:rsid w:val="72CA5C54"/>
    <w:rsid w:val="72EC751B"/>
    <w:rsid w:val="74136BEC"/>
    <w:rsid w:val="747B1953"/>
    <w:rsid w:val="758D7B90"/>
    <w:rsid w:val="765B183C"/>
    <w:rsid w:val="766412F8"/>
    <w:rsid w:val="76781F92"/>
    <w:rsid w:val="769767EC"/>
    <w:rsid w:val="76EA1660"/>
    <w:rsid w:val="76FA74A7"/>
    <w:rsid w:val="77A77481"/>
    <w:rsid w:val="77F07E31"/>
    <w:rsid w:val="781F7918"/>
    <w:rsid w:val="7826607A"/>
    <w:rsid w:val="782B3146"/>
    <w:rsid w:val="786170B2"/>
    <w:rsid w:val="78792CC1"/>
    <w:rsid w:val="78993BD8"/>
    <w:rsid w:val="78BF1EAB"/>
    <w:rsid w:val="78DF7A94"/>
    <w:rsid w:val="78E004B3"/>
    <w:rsid w:val="797E2865"/>
    <w:rsid w:val="7A9B2D4F"/>
    <w:rsid w:val="7AE12139"/>
    <w:rsid w:val="7B8E6410"/>
    <w:rsid w:val="7BE75B20"/>
    <w:rsid w:val="7C06244A"/>
    <w:rsid w:val="7D95271F"/>
    <w:rsid w:val="7DBE45BB"/>
    <w:rsid w:val="7E0A159D"/>
    <w:rsid w:val="7E5F7E4B"/>
    <w:rsid w:val="7E9555D7"/>
    <w:rsid w:val="7EAD76C5"/>
    <w:rsid w:val="7EDC2502"/>
    <w:rsid w:val="7F1A5D2F"/>
    <w:rsid w:val="7F1B620C"/>
    <w:rsid w:val="7FB97D55"/>
    <w:rsid w:val="7FE40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4">
    <w:name w:val="Document Map"/>
    <w:basedOn w:val="1"/>
    <w:next w:val="1"/>
    <w:qFormat/>
    <w:uiPriority w:val="0"/>
    <w:pPr>
      <w:shd w:val="clear" w:color="auto" w:fill="000080"/>
    </w:pPr>
  </w:style>
  <w:style w:type="paragraph" w:styleId="5">
    <w:name w:val="annotation text"/>
    <w:basedOn w:val="1"/>
    <w:qFormat/>
    <w:uiPriority w:val="0"/>
    <w:pPr>
      <w:jc w:val="left"/>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next w:val="3"/>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4">
    <w:name w:val="page number"/>
    <w:basedOn w:val="13"/>
    <w:qFormat/>
    <w:uiPriority w:val="0"/>
  </w:style>
  <w:style w:type="character" w:styleId="15">
    <w:name w:val="Hyperlink"/>
    <w:qFormat/>
    <w:uiPriority w:val="99"/>
    <w:rPr>
      <w:color w:val="0000FF"/>
      <w:u w:val="single"/>
    </w:rPr>
  </w:style>
  <w:style w:type="paragraph" w:styleId="16">
    <w:name w:val="List Paragraph"/>
    <w:basedOn w:val="1"/>
    <w:qFormat/>
    <w:uiPriority w:val="34"/>
    <w:pPr>
      <w:ind w:firstLine="420" w:firstLineChars="200"/>
    </w:pPr>
    <w:rPr>
      <w:rFonts w:ascii="Calibri" w:hAnsi="Calibri"/>
      <w:szCs w:val="22"/>
    </w:rPr>
  </w:style>
  <w:style w:type="paragraph" w:customStyle="1" w:styleId="17">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18">
    <w:name w:val="null3"/>
    <w:hidden/>
    <w:qFormat/>
    <w:uiPriority w:val="0"/>
    <w:rPr>
      <w:rFonts w:hint="eastAsia" w:ascii="Calibri" w:hAnsi="Calibri" w:eastAsia="宋体" w:cs="Times New Roman"/>
      <w:lang w:val="en-US" w:eastAsia="zh-CN" w:bidi="ar-SA"/>
    </w:rPr>
  </w:style>
  <w:style w:type="paragraph" w:customStyle="1" w:styleId="19">
    <w:name w:val="标题 31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5358</Words>
  <Characters>5740</Characters>
  <Lines>300</Lines>
  <Paragraphs>84</Paragraphs>
  <TotalTime>1</TotalTime>
  <ScaleCrop>false</ScaleCrop>
  <LinksUpToDate>false</LinksUpToDate>
  <CharactersWithSpaces>5956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2024-08-12T03:22:00Z</dcterms:created>
  <dc:creator>π</dc:creator>
  <cp:lastModifiedBy>匿名用户</cp:lastModifiedBy>
  <cp:lastPrinted>2025-06-03T06:49:00Z</cp:lastPrinted>
  <dcterms:modified xsi:type="dcterms:W3CDTF">2026-07-10T03:15:21Z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174C0B620CCF460DB2CF042B64E909A1_13</vt:lpwstr>
  </property>
  <property fmtid="{D5CDD505-2E9C-101B-9397-08002B2CF9AE}" pid="4" name="KSOTemplateDocerSaveRecord">
    <vt:lpwstr>eyJoZGlkIjoiYmIwYjJkZDRjYTAyMzE4MGQxY2FiZDNjZGE1ZDU2YTciLCJ1c2VySWQiOiIxNDk3NzQ3NTk5In0=</vt:lpwstr>
  </property>
</Properties>
</file>